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320"/>
      </w:tblGrid>
      <w:tr w:rsidR="00B91332" w:rsidTr="005A57F9">
        <w:tc>
          <w:tcPr>
            <w:tcW w:w="6660" w:type="dxa"/>
            <w:tcBorders>
              <w:bottom w:val="double" w:sz="4" w:space="0" w:color="A5A5A5" w:themeColor="accent3"/>
            </w:tcBorders>
          </w:tcPr>
          <w:p w:rsidR="00B91332" w:rsidRPr="00B91332" w:rsidRDefault="00C01F47" w:rsidP="00354064">
            <w:pPr>
              <w:jc w:val="both"/>
              <w:rPr>
                <w:rFonts w:ascii="Times New Roman" w:hAnsi="Times New Roman" w:cs="Times New Roman"/>
                <w:b/>
              </w:rPr>
            </w:pPr>
            <w:bookmarkStart w:id="0" w:name="_GoBack"/>
            <w:bookmarkEnd w:id="0"/>
            <w:r>
              <w:rPr>
                <w:rFonts w:ascii="Times New Roman" w:hAnsi="Times New Roman" w:cs="Times New Roman"/>
                <w:b/>
                <w:color w:val="2E74B5" w:themeColor="accent1" w:themeShade="BF"/>
                <w:sz w:val="144"/>
              </w:rPr>
              <w:t xml:space="preserve"> </w:t>
            </w:r>
            <w:r w:rsidR="00B91332" w:rsidRPr="00B91332">
              <w:rPr>
                <w:rFonts w:ascii="Times New Roman" w:hAnsi="Times New Roman" w:cs="Times New Roman"/>
                <w:b/>
                <w:color w:val="2E74B5" w:themeColor="accent1" w:themeShade="BF"/>
                <w:sz w:val="144"/>
              </w:rPr>
              <w:t>COMPA</w:t>
            </w:r>
          </w:p>
        </w:tc>
        <w:tc>
          <w:tcPr>
            <w:tcW w:w="4320" w:type="dxa"/>
            <w:tcBorders>
              <w:bottom w:val="double" w:sz="4" w:space="0" w:color="A5A5A5" w:themeColor="accent3"/>
            </w:tcBorders>
          </w:tcPr>
          <w:p w:rsidR="00391FD4" w:rsidRDefault="00391FD4" w:rsidP="00354064">
            <w:pPr>
              <w:jc w:val="both"/>
              <w:rPr>
                <w:b/>
              </w:rPr>
            </w:pPr>
          </w:p>
          <w:p w:rsidR="00CF5D38" w:rsidRDefault="00A60442" w:rsidP="00354064">
            <w:pPr>
              <w:jc w:val="both"/>
              <w:rPr>
                <w:b/>
              </w:rPr>
            </w:pPr>
            <w:r>
              <w:rPr>
                <w:b/>
              </w:rPr>
              <w:t>121 West 36</w:t>
            </w:r>
            <w:r w:rsidRPr="00A60442">
              <w:rPr>
                <w:b/>
                <w:vertAlign w:val="superscript"/>
              </w:rPr>
              <w:t>th</w:t>
            </w:r>
            <w:r>
              <w:rPr>
                <w:b/>
              </w:rPr>
              <w:t xml:space="preserve"> Street #201</w:t>
            </w:r>
          </w:p>
          <w:p w:rsidR="00B91332" w:rsidRDefault="00A60442" w:rsidP="00354064">
            <w:pPr>
              <w:jc w:val="both"/>
              <w:rPr>
                <w:b/>
              </w:rPr>
            </w:pPr>
            <w:r>
              <w:rPr>
                <w:b/>
              </w:rPr>
              <w:t>New York, NY  10018</w:t>
            </w:r>
          </w:p>
          <w:p w:rsidR="006A6539" w:rsidRDefault="006A6539" w:rsidP="00354064">
            <w:pPr>
              <w:jc w:val="both"/>
              <w:rPr>
                <w:b/>
              </w:rPr>
            </w:pPr>
            <w:r>
              <w:rPr>
                <w:b/>
              </w:rPr>
              <w:t>Email</w:t>
            </w:r>
            <w:r w:rsidR="00780D27">
              <w:rPr>
                <w:b/>
              </w:rPr>
              <w:t>: allschorr@westmidtownmedical.com</w:t>
            </w:r>
          </w:p>
          <w:p w:rsidR="006A6539" w:rsidRPr="00FB2F3E" w:rsidRDefault="006A6539" w:rsidP="00354064">
            <w:pPr>
              <w:jc w:val="both"/>
              <w:rPr>
                <w:b/>
              </w:rPr>
            </w:pPr>
            <w:r>
              <w:rPr>
                <w:b/>
              </w:rPr>
              <w:t>212-643-8811 ext. 327</w:t>
            </w:r>
          </w:p>
          <w:p w:rsidR="00B91332" w:rsidRPr="00FB2F3E" w:rsidRDefault="00B91332" w:rsidP="00354064">
            <w:pPr>
              <w:jc w:val="both"/>
              <w:rPr>
                <w:b/>
              </w:rPr>
            </w:pPr>
            <w:r w:rsidRPr="00FB2F3E">
              <w:rPr>
                <w:b/>
              </w:rPr>
              <w:t xml:space="preserve">Website: </w:t>
            </w:r>
            <w:hyperlink r:id="rId7" w:history="1">
              <w:r w:rsidRPr="00FB2F3E">
                <w:rPr>
                  <w:rStyle w:val="Hyperlink"/>
                  <w:b/>
                </w:rPr>
                <w:t>www.compa-ny.org</w:t>
              </w:r>
            </w:hyperlink>
          </w:p>
        </w:tc>
      </w:tr>
      <w:tr w:rsidR="00B91332" w:rsidTr="005A57F9">
        <w:trPr>
          <w:trHeight w:hRule="exact" w:val="432"/>
        </w:trPr>
        <w:tc>
          <w:tcPr>
            <w:tcW w:w="10980" w:type="dxa"/>
            <w:gridSpan w:val="2"/>
            <w:tcBorders>
              <w:top w:val="double" w:sz="4" w:space="0" w:color="A5A5A5" w:themeColor="accent3"/>
              <w:bottom w:val="double" w:sz="4" w:space="0" w:color="A5A5A5" w:themeColor="accent3"/>
            </w:tcBorders>
            <w:vAlign w:val="center"/>
          </w:tcPr>
          <w:p w:rsidR="00B91332" w:rsidRDefault="00486F84" w:rsidP="00354064">
            <w:pPr>
              <w:jc w:val="center"/>
            </w:pPr>
            <w:r>
              <w:rPr>
                <w:b/>
                <w:sz w:val="24"/>
              </w:rPr>
              <w:t xml:space="preserve">COALITION OF </w:t>
            </w:r>
            <w:r w:rsidR="00793330">
              <w:rPr>
                <w:b/>
                <w:sz w:val="24"/>
              </w:rPr>
              <w:t>MEDICATION</w:t>
            </w:r>
            <w:r>
              <w:rPr>
                <w:b/>
                <w:sz w:val="24"/>
              </w:rPr>
              <w:t>-ASSISTED TREATMENT PROVIDERS AND ADVOCATES</w:t>
            </w:r>
          </w:p>
        </w:tc>
      </w:tr>
    </w:tbl>
    <w:p w:rsidR="00EA65C2" w:rsidRDefault="00EA65C2" w:rsidP="00354064">
      <w:pPr>
        <w:spacing w:after="0"/>
        <w:jc w:val="both"/>
        <w:rPr>
          <w:rFonts w:ascii="Georgia" w:hAnsi="Georgia" w:cs="Arial"/>
          <w:b/>
          <w:sz w:val="24"/>
          <w:szCs w:val="24"/>
        </w:rPr>
      </w:pPr>
    </w:p>
    <w:p w:rsidR="00162291" w:rsidRDefault="00162291" w:rsidP="00354064">
      <w:pPr>
        <w:spacing w:after="0"/>
        <w:jc w:val="both"/>
        <w:rPr>
          <w:rFonts w:ascii="Georgia" w:hAnsi="Georgia" w:cs="Arial"/>
          <w:b/>
          <w:sz w:val="24"/>
          <w:szCs w:val="24"/>
        </w:rPr>
      </w:pPr>
    </w:p>
    <w:p w:rsidR="00162291" w:rsidRDefault="00162291" w:rsidP="00354064">
      <w:pPr>
        <w:spacing w:after="0"/>
        <w:jc w:val="both"/>
        <w:rPr>
          <w:rFonts w:ascii="Georgia" w:hAnsi="Georgia" w:cs="Arial"/>
          <w:b/>
          <w:sz w:val="24"/>
          <w:szCs w:val="24"/>
        </w:rPr>
      </w:pPr>
    </w:p>
    <w:p w:rsidR="00162291" w:rsidRDefault="00162291" w:rsidP="00E6175F">
      <w:pPr>
        <w:spacing w:after="0"/>
        <w:jc w:val="center"/>
        <w:rPr>
          <w:rFonts w:ascii="Georgia" w:hAnsi="Georgia" w:cs="Arial"/>
          <w:b/>
          <w:sz w:val="24"/>
          <w:szCs w:val="24"/>
        </w:rPr>
      </w:pPr>
      <w:r>
        <w:rPr>
          <w:rFonts w:ascii="Georgia" w:hAnsi="Georgia" w:cs="Arial"/>
          <w:b/>
          <w:sz w:val="24"/>
          <w:szCs w:val="24"/>
        </w:rPr>
        <w:t>Testimony of Coalition of Medication-Assisted Treatment Providers and Advocates</w:t>
      </w:r>
    </w:p>
    <w:p w:rsidR="00162291" w:rsidRDefault="00162291" w:rsidP="00E6175F">
      <w:pPr>
        <w:spacing w:after="0"/>
        <w:jc w:val="center"/>
        <w:rPr>
          <w:rFonts w:ascii="Georgia" w:hAnsi="Georgia" w:cs="Arial"/>
          <w:b/>
          <w:sz w:val="24"/>
          <w:szCs w:val="24"/>
        </w:rPr>
      </w:pPr>
      <w:r>
        <w:rPr>
          <w:rFonts w:ascii="Georgia" w:hAnsi="Georgia" w:cs="Arial"/>
          <w:b/>
          <w:sz w:val="24"/>
          <w:szCs w:val="24"/>
        </w:rPr>
        <w:t>Joint Legislative Hearings on the FY 2018-19 Executive Budget</w:t>
      </w:r>
    </w:p>
    <w:p w:rsidR="00162291" w:rsidRDefault="00162291" w:rsidP="00E6175F">
      <w:pPr>
        <w:spacing w:after="0"/>
        <w:jc w:val="center"/>
        <w:rPr>
          <w:rFonts w:ascii="Georgia" w:hAnsi="Georgia" w:cs="Arial"/>
          <w:b/>
          <w:sz w:val="24"/>
          <w:szCs w:val="24"/>
        </w:rPr>
      </w:pPr>
      <w:r>
        <w:rPr>
          <w:rFonts w:ascii="Georgia" w:hAnsi="Georgia" w:cs="Arial"/>
          <w:b/>
          <w:sz w:val="24"/>
          <w:szCs w:val="24"/>
        </w:rPr>
        <w:t>Mental Health</w:t>
      </w:r>
    </w:p>
    <w:p w:rsidR="00162291" w:rsidRDefault="00162291" w:rsidP="00E6175F">
      <w:pPr>
        <w:spacing w:after="0"/>
        <w:jc w:val="center"/>
        <w:rPr>
          <w:rFonts w:ascii="Georgia" w:hAnsi="Georgia" w:cs="Arial"/>
          <w:b/>
          <w:sz w:val="24"/>
          <w:szCs w:val="24"/>
        </w:rPr>
      </w:pPr>
      <w:r>
        <w:rPr>
          <w:rFonts w:ascii="Georgia" w:hAnsi="Georgia" w:cs="Arial"/>
          <w:b/>
          <w:sz w:val="24"/>
          <w:szCs w:val="24"/>
        </w:rPr>
        <w:t>Submitted by Allegra Schorr, President</w:t>
      </w:r>
    </w:p>
    <w:p w:rsidR="00162291" w:rsidRDefault="00162291" w:rsidP="00E6175F">
      <w:pPr>
        <w:spacing w:after="0"/>
        <w:jc w:val="center"/>
        <w:rPr>
          <w:rFonts w:ascii="Georgia" w:hAnsi="Georgia" w:cs="Arial"/>
          <w:b/>
          <w:sz w:val="24"/>
          <w:szCs w:val="24"/>
        </w:rPr>
      </w:pPr>
      <w:r>
        <w:rPr>
          <w:rFonts w:ascii="Georgia" w:hAnsi="Georgia" w:cs="Arial"/>
          <w:b/>
          <w:sz w:val="24"/>
          <w:szCs w:val="24"/>
        </w:rPr>
        <w:t>February 13, 2018</w:t>
      </w:r>
    </w:p>
    <w:p w:rsidR="00162291" w:rsidRPr="00352B36" w:rsidRDefault="00162291" w:rsidP="00E6175F">
      <w:pPr>
        <w:spacing w:after="0"/>
        <w:jc w:val="both"/>
        <w:rPr>
          <w:rFonts w:ascii="Georgia" w:hAnsi="Georgia" w:cs="Arial"/>
          <w:b/>
          <w:sz w:val="24"/>
          <w:szCs w:val="24"/>
        </w:rPr>
      </w:pPr>
    </w:p>
    <w:p w:rsidR="00D856EC" w:rsidRDefault="00D856EC" w:rsidP="00E6175F">
      <w:pPr>
        <w:spacing w:after="0"/>
        <w:jc w:val="center"/>
        <w:rPr>
          <w:rFonts w:ascii="Georgia" w:hAnsi="Georgia" w:cs="Arial"/>
          <w:b/>
          <w:sz w:val="24"/>
          <w:szCs w:val="24"/>
        </w:rPr>
      </w:pPr>
    </w:p>
    <w:p w:rsidR="00C140F3" w:rsidRDefault="00162291" w:rsidP="00E6175F">
      <w:pPr>
        <w:spacing w:after="0"/>
        <w:jc w:val="both"/>
        <w:rPr>
          <w:rFonts w:ascii="Georgia" w:hAnsi="Georgia"/>
          <w:sz w:val="24"/>
          <w:szCs w:val="24"/>
        </w:rPr>
      </w:pPr>
      <w:r>
        <w:rPr>
          <w:rFonts w:ascii="Georgia" w:hAnsi="Georgia"/>
          <w:sz w:val="24"/>
          <w:szCs w:val="24"/>
        </w:rPr>
        <w:t xml:space="preserve">Thank you for the opportunity to submit testimony. </w:t>
      </w:r>
      <w:r w:rsidR="008B1EDF">
        <w:rPr>
          <w:rFonts w:ascii="Georgia" w:hAnsi="Georgia"/>
          <w:sz w:val="24"/>
          <w:szCs w:val="24"/>
        </w:rPr>
        <w:t xml:space="preserve">COMPA represents the State’s </w:t>
      </w:r>
      <w:r w:rsidR="00CC42AA">
        <w:rPr>
          <w:rFonts w:ascii="Georgia" w:hAnsi="Georgia"/>
          <w:sz w:val="24"/>
          <w:szCs w:val="24"/>
        </w:rPr>
        <w:t>106</w:t>
      </w:r>
      <w:r w:rsidR="008B1EDF">
        <w:rPr>
          <w:rFonts w:ascii="Georgia" w:hAnsi="Georgia"/>
          <w:sz w:val="24"/>
          <w:szCs w:val="24"/>
        </w:rPr>
        <w:t xml:space="preserve"> Opioid Treatment Programs</w:t>
      </w:r>
      <w:r w:rsidR="00C140F3">
        <w:rPr>
          <w:rFonts w:ascii="Georgia" w:hAnsi="Georgia"/>
          <w:sz w:val="24"/>
          <w:szCs w:val="24"/>
        </w:rPr>
        <w:t xml:space="preserve"> (OTP)</w:t>
      </w:r>
      <w:r w:rsidR="008B1EDF">
        <w:rPr>
          <w:rFonts w:ascii="Georgia" w:hAnsi="Georgia"/>
          <w:sz w:val="24"/>
          <w:szCs w:val="24"/>
        </w:rPr>
        <w:t xml:space="preserve"> and Medication Assisted Treatment</w:t>
      </w:r>
      <w:r w:rsidR="00C140F3">
        <w:rPr>
          <w:rFonts w:ascii="Georgia" w:hAnsi="Georgia"/>
          <w:sz w:val="24"/>
          <w:szCs w:val="24"/>
        </w:rPr>
        <w:t xml:space="preserve"> (MAT)</w:t>
      </w:r>
      <w:r w:rsidR="008B1EDF">
        <w:rPr>
          <w:rFonts w:ascii="Georgia" w:hAnsi="Georgia"/>
          <w:sz w:val="24"/>
          <w:szCs w:val="24"/>
        </w:rPr>
        <w:t xml:space="preserve"> </w:t>
      </w:r>
      <w:r w:rsidR="00E6175F">
        <w:rPr>
          <w:rFonts w:ascii="Georgia" w:hAnsi="Georgia"/>
          <w:sz w:val="24"/>
          <w:szCs w:val="24"/>
        </w:rPr>
        <w:t>p</w:t>
      </w:r>
      <w:r w:rsidR="008B1EDF">
        <w:rPr>
          <w:rFonts w:ascii="Georgia" w:hAnsi="Georgia"/>
          <w:sz w:val="24"/>
          <w:szCs w:val="24"/>
        </w:rPr>
        <w:t xml:space="preserve">rograms. </w:t>
      </w:r>
    </w:p>
    <w:p w:rsidR="00E6175F" w:rsidRDefault="00E6175F" w:rsidP="00E6175F">
      <w:pPr>
        <w:spacing w:after="0"/>
        <w:jc w:val="both"/>
        <w:rPr>
          <w:rFonts w:ascii="Georgia" w:hAnsi="Georgia"/>
          <w:sz w:val="24"/>
          <w:szCs w:val="24"/>
        </w:rPr>
      </w:pPr>
    </w:p>
    <w:p w:rsidR="00C140F3" w:rsidRDefault="00C140F3" w:rsidP="00E6175F">
      <w:pPr>
        <w:spacing w:after="0"/>
        <w:jc w:val="both"/>
        <w:rPr>
          <w:rFonts w:ascii="Georgia" w:hAnsi="Georgia"/>
          <w:sz w:val="24"/>
          <w:szCs w:val="24"/>
        </w:rPr>
      </w:pPr>
      <w:r w:rsidRPr="00794A32">
        <w:rPr>
          <w:rFonts w:ascii="Georgia" w:hAnsi="Georgia"/>
          <w:sz w:val="24"/>
          <w:szCs w:val="24"/>
        </w:rPr>
        <w:t>The Opioid Treatment Programs are essential treatment</w:t>
      </w:r>
      <w:r>
        <w:rPr>
          <w:rFonts w:ascii="Georgia" w:hAnsi="Georgia"/>
          <w:sz w:val="24"/>
          <w:szCs w:val="24"/>
        </w:rPr>
        <w:t xml:space="preserve"> hub</w:t>
      </w:r>
      <w:r w:rsidRPr="00794A32">
        <w:rPr>
          <w:rFonts w:ascii="Georgia" w:hAnsi="Georgia"/>
          <w:sz w:val="24"/>
          <w:szCs w:val="24"/>
        </w:rPr>
        <w:t xml:space="preserve"> providers with a specialized mission to treat individuals with opioid dependence through Medication Assisted Treatment</w:t>
      </w:r>
      <w:r>
        <w:rPr>
          <w:rFonts w:ascii="Georgia" w:hAnsi="Georgia"/>
          <w:sz w:val="24"/>
          <w:szCs w:val="24"/>
        </w:rPr>
        <w:t xml:space="preserve">. </w:t>
      </w:r>
      <w:r w:rsidRPr="00794A32">
        <w:rPr>
          <w:rFonts w:ascii="Georgia" w:hAnsi="Georgia"/>
          <w:sz w:val="24"/>
          <w:szCs w:val="24"/>
        </w:rPr>
        <w:t>There are over 41,000 New Yorkers or one-third of the O</w:t>
      </w:r>
      <w:r>
        <w:rPr>
          <w:rFonts w:ascii="Georgia" w:hAnsi="Georgia"/>
          <w:sz w:val="24"/>
          <w:szCs w:val="24"/>
        </w:rPr>
        <w:t xml:space="preserve">ffice of </w:t>
      </w:r>
      <w:r w:rsidRPr="00794A32">
        <w:rPr>
          <w:rFonts w:ascii="Georgia" w:hAnsi="Georgia"/>
          <w:sz w:val="24"/>
          <w:szCs w:val="24"/>
        </w:rPr>
        <w:t>A</w:t>
      </w:r>
      <w:r>
        <w:rPr>
          <w:rFonts w:ascii="Georgia" w:hAnsi="Georgia"/>
          <w:sz w:val="24"/>
          <w:szCs w:val="24"/>
        </w:rPr>
        <w:t xml:space="preserve">lcoholism and </w:t>
      </w:r>
      <w:r w:rsidRPr="00794A32">
        <w:rPr>
          <w:rFonts w:ascii="Georgia" w:hAnsi="Georgia"/>
          <w:sz w:val="24"/>
          <w:szCs w:val="24"/>
        </w:rPr>
        <w:t>S</w:t>
      </w:r>
      <w:r>
        <w:rPr>
          <w:rFonts w:ascii="Georgia" w:hAnsi="Georgia"/>
          <w:sz w:val="24"/>
          <w:szCs w:val="24"/>
        </w:rPr>
        <w:t xml:space="preserve">ubstance </w:t>
      </w:r>
      <w:r w:rsidRPr="00794A32">
        <w:rPr>
          <w:rFonts w:ascii="Georgia" w:hAnsi="Georgia"/>
          <w:sz w:val="24"/>
          <w:szCs w:val="24"/>
        </w:rPr>
        <w:t>A</w:t>
      </w:r>
      <w:r>
        <w:rPr>
          <w:rFonts w:ascii="Georgia" w:hAnsi="Georgia"/>
          <w:sz w:val="24"/>
          <w:szCs w:val="24"/>
        </w:rPr>
        <w:t xml:space="preserve">buse </w:t>
      </w:r>
      <w:r w:rsidRPr="00794A32">
        <w:rPr>
          <w:rFonts w:ascii="Georgia" w:hAnsi="Georgia"/>
          <w:sz w:val="24"/>
          <w:szCs w:val="24"/>
        </w:rPr>
        <w:t>S</w:t>
      </w:r>
      <w:r>
        <w:rPr>
          <w:rFonts w:ascii="Georgia" w:hAnsi="Georgia"/>
          <w:sz w:val="24"/>
          <w:szCs w:val="24"/>
        </w:rPr>
        <w:t>ervices (OASAS)</w:t>
      </w:r>
      <w:r w:rsidRPr="00794A32">
        <w:rPr>
          <w:rFonts w:ascii="Georgia" w:hAnsi="Georgia"/>
          <w:sz w:val="24"/>
          <w:szCs w:val="24"/>
        </w:rPr>
        <w:t xml:space="preserve"> system receiving treatment in OTPs. OTP services are crucial to New York’s healthcare system, and are critical during the current prescription opioid and heroin epidemic. OTPs are the only treatment modality where all three federally approved medications are available (methadone, buprenorphine, and extended-release naltrexone). OTP treatment is comprehensive and multi-disciplinary, and includes counseling, physical exams, and medications, with an average patient visit of 3.5 times per week.  OTPs operate within strict regulations and accreditation standards, which authorize an unlimited federal capacity to dispense buprenorphine. </w:t>
      </w:r>
    </w:p>
    <w:p w:rsidR="00C140F3" w:rsidRDefault="00C140F3" w:rsidP="00E6175F">
      <w:pPr>
        <w:spacing w:after="0"/>
        <w:jc w:val="both"/>
        <w:rPr>
          <w:rFonts w:ascii="Georgia" w:hAnsi="Georgia"/>
          <w:sz w:val="24"/>
          <w:szCs w:val="24"/>
        </w:rPr>
      </w:pPr>
    </w:p>
    <w:p w:rsidR="00C140F3" w:rsidRPr="00794A32" w:rsidRDefault="00C140F3" w:rsidP="00E6175F">
      <w:pPr>
        <w:spacing w:after="0"/>
        <w:jc w:val="both"/>
        <w:rPr>
          <w:rFonts w:ascii="Georgia" w:hAnsi="Georgia"/>
          <w:sz w:val="24"/>
          <w:szCs w:val="24"/>
        </w:rPr>
      </w:pPr>
      <w:r w:rsidRPr="00794A32">
        <w:rPr>
          <w:rFonts w:ascii="Georgia" w:hAnsi="Georgia"/>
          <w:sz w:val="24"/>
          <w:szCs w:val="24"/>
        </w:rPr>
        <w:t>These programs are able to provide support and resources to DATA 2000 practices – health care practices that have federal approval to prescribe buprenorphine – in a variety of collaborative treatment models,</w:t>
      </w:r>
      <w:r>
        <w:rPr>
          <w:rFonts w:ascii="Georgia" w:hAnsi="Georgia"/>
          <w:sz w:val="24"/>
          <w:szCs w:val="24"/>
        </w:rPr>
        <w:t xml:space="preserve"> such as the hub and spoke model, </w:t>
      </w:r>
      <w:r w:rsidRPr="00794A32">
        <w:rPr>
          <w:rFonts w:ascii="Georgia" w:hAnsi="Georgia"/>
          <w:sz w:val="24"/>
          <w:szCs w:val="24"/>
        </w:rPr>
        <w:t>which can enable these practices to treat a greater number of patients and respond to the epidemic more effectively.</w:t>
      </w:r>
    </w:p>
    <w:p w:rsidR="00C140F3" w:rsidRPr="00794A32" w:rsidRDefault="00C140F3" w:rsidP="00E6175F">
      <w:pPr>
        <w:spacing w:after="0"/>
        <w:jc w:val="both"/>
        <w:rPr>
          <w:rFonts w:ascii="Georgia" w:hAnsi="Georgia"/>
          <w:sz w:val="24"/>
          <w:szCs w:val="24"/>
        </w:rPr>
      </w:pPr>
    </w:p>
    <w:p w:rsidR="00C140F3" w:rsidRPr="00794A32" w:rsidRDefault="00C140F3" w:rsidP="00E6175F">
      <w:pPr>
        <w:spacing w:after="0"/>
        <w:jc w:val="both"/>
        <w:rPr>
          <w:rFonts w:ascii="Georgia" w:hAnsi="Georgia"/>
          <w:sz w:val="24"/>
          <w:szCs w:val="24"/>
        </w:rPr>
      </w:pPr>
      <w:r w:rsidRPr="00E6175F">
        <w:rPr>
          <w:rFonts w:ascii="Georgia" w:hAnsi="Georgia"/>
          <w:sz w:val="24"/>
          <w:szCs w:val="24"/>
        </w:rPr>
        <w:t>Although New York has made some significant inroads by laying the groundwork for positive reforms, the heroin/opioid epidemic is only getting worse. Overdoses are responsible for lowering the American life expectancy rate for two years in a row and are now the number one killer of people 18 to 34.   It is imperative that the State continue to invest in treatment to ensure that everyone who needs help can obtain it. Last year, seven OTPs opened across New York due to increased state funding and assistance from OASAS.  Yet, there are still areas of the state where people cannot easily access OTP services. OTPs are on the frontlines of fighting opioid addiction in New York and it is critical that the State enact policies that ensure easy access to quality, comprehensive cost-effective care.</w:t>
      </w:r>
      <w:r w:rsidRPr="00794A32">
        <w:rPr>
          <w:rFonts w:ascii="Georgia" w:hAnsi="Georgia"/>
          <w:sz w:val="24"/>
          <w:szCs w:val="24"/>
        </w:rPr>
        <w:t xml:space="preserve"> </w:t>
      </w:r>
    </w:p>
    <w:p w:rsidR="00C140F3" w:rsidRDefault="00C140F3" w:rsidP="00E6175F">
      <w:pPr>
        <w:spacing w:after="0"/>
        <w:jc w:val="both"/>
        <w:rPr>
          <w:rFonts w:ascii="Georgia" w:hAnsi="Georgia"/>
          <w:sz w:val="24"/>
          <w:szCs w:val="24"/>
        </w:rPr>
      </w:pPr>
    </w:p>
    <w:p w:rsidR="00C140F3" w:rsidRPr="00794A32" w:rsidRDefault="00C140F3" w:rsidP="00E6175F">
      <w:pPr>
        <w:spacing w:after="0"/>
        <w:jc w:val="both"/>
        <w:rPr>
          <w:rFonts w:ascii="Georgia" w:hAnsi="Georgia"/>
          <w:sz w:val="24"/>
          <w:szCs w:val="24"/>
        </w:rPr>
      </w:pPr>
      <w:r w:rsidRPr="00794A32">
        <w:rPr>
          <w:rFonts w:ascii="Georgia" w:hAnsi="Georgia"/>
          <w:sz w:val="24"/>
          <w:szCs w:val="24"/>
        </w:rPr>
        <w:t>According to the former Surgeon General’s landmark report (</w:t>
      </w:r>
      <w:r w:rsidRPr="00794A32">
        <w:rPr>
          <w:rFonts w:ascii="Georgia" w:hAnsi="Georgia"/>
          <w:i/>
          <w:sz w:val="24"/>
          <w:szCs w:val="24"/>
        </w:rPr>
        <w:t>Facing Addiction in America, 2016</w:t>
      </w:r>
      <w:r w:rsidRPr="00794A32">
        <w:rPr>
          <w:rFonts w:ascii="Georgia" w:hAnsi="Georgia"/>
          <w:sz w:val="24"/>
          <w:szCs w:val="24"/>
        </w:rPr>
        <w:t xml:space="preserve">), Medication Assisted Treatment is a critical component of reducing the devastating impact of </w:t>
      </w:r>
      <w:r>
        <w:rPr>
          <w:rFonts w:ascii="Georgia" w:hAnsi="Georgia"/>
          <w:sz w:val="24"/>
          <w:szCs w:val="24"/>
        </w:rPr>
        <w:t xml:space="preserve">the heroin/opioid epidemic. </w:t>
      </w:r>
      <w:r w:rsidRPr="00794A32">
        <w:rPr>
          <w:rFonts w:ascii="Georgia" w:hAnsi="Georgia"/>
          <w:sz w:val="24"/>
          <w:szCs w:val="24"/>
        </w:rPr>
        <w:t xml:space="preserve">In keeping with this guidance, New York must focus its response in the </w:t>
      </w:r>
      <w:r w:rsidRPr="00794A32">
        <w:rPr>
          <w:rFonts w:ascii="Georgia" w:hAnsi="Georgia"/>
          <w:sz w:val="24"/>
          <w:szCs w:val="24"/>
        </w:rPr>
        <w:lastRenderedPageBreak/>
        <w:t xml:space="preserve">following areas: Removing barriers to Medication-Assisted Treatment, expanding access to MAT, and creating a continuum model of care, with MAT at the center. </w:t>
      </w:r>
    </w:p>
    <w:p w:rsidR="00C140F3" w:rsidRDefault="00C140F3" w:rsidP="00E6175F">
      <w:pPr>
        <w:spacing w:after="0"/>
        <w:jc w:val="both"/>
        <w:rPr>
          <w:rFonts w:ascii="Georgia" w:hAnsi="Georgia"/>
          <w:sz w:val="24"/>
          <w:szCs w:val="24"/>
        </w:rPr>
      </w:pPr>
    </w:p>
    <w:p w:rsidR="00327EFB" w:rsidRPr="00794A32" w:rsidRDefault="00327EFB" w:rsidP="00E6175F">
      <w:pPr>
        <w:spacing w:after="0"/>
        <w:jc w:val="both"/>
        <w:rPr>
          <w:rFonts w:ascii="Georgia" w:hAnsi="Georgia" w:cs="Arial"/>
          <w:b/>
          <w:sz w:val="24"/>
          <w:szCs w:val="24"/>
          <w:u w:val="single"/>
        </w:rPr>
      </w:pPr>
      <w:r w:rsidRPr="00794A32">
        <w:rPr>
          <w:rFonts w:ascii="Georgia" w:hAnsi="Georgia" w:cs="Arial"/>
          <w:b/>
          <w:sz w:val="24"/>
          <w:szCs w:val="24"/>
          <w:u w:val="single"/>
        </w:rPr>
        <w:t>Funding for Opioid Treatment</w:t>
      </w:r>
    </w:p>
    <w:p w:rsidR="00C140F3" w:rsidRPr="00E6175F" w:rsidRDefault="00327EFB" w:rsidP="00E6175F">
      <w:pPr>
        <w:spacing w:after="0"/>
        <w:rPr>
          <w:rFonts w:ascii="Georgia" w:hAnsi="Georgia"/>
          <w:sz w:val="24"/>
          <w:szCs w:val="24"/>
        </w:rPr>
      </w:pPr>
      <w:r w:rsidRPr="00E6175F">
        <w:rPr>
          <w:rFonts w:ascii="Georgia" w:hAnsi="Georgia"/>
          <w:sz w:val="24"/>
          <w:szCs w:val="24"/>
        </w:rPr>
        <w:t xml:space="preserve">COMPA is encouraged to see that the FY 2018-19 Executive Budget includes $26 million in new funding for OASAS programs and continues funding </w:t>
      </w:r>
      <w:r w:rsidR="00C522AD" w:rsidRPr="00E6175F">
        <w:rPr>
          <w:rFonts w:ascii="Georgia" w:hAnsi="Georgia"/>
          <w:sz w:val="24"/>
          <w:szCs w:val="24"/>
        </w:rPr>
        <w:t>for combatting the opioid and h</w:t>
      </w:r>
      <w:r w:rsidRPr="00E6175F">
        <w:rPr>
          <w:rFonts w:ascii="Georgia" w:hAnsi="Georgia"/>
          <w:sz w:val="24"/>
          <w:szCs w:val="24"/>
        </w:rPr>
        <w:t xml:space="preserve">eroin </w:t>
      </w:r>
      <w:r w:rsidR="00C522AD" w:rsidRPr="00E6175F">
        <w:rPr>
          <w:rFonts w:ascii="Georgia" w:hAnsi="Georgia"/>
          <w:sz w:val="24"/>
          <w:szCs w:val="24"/>
        </w:rPr>
        <w:t>epidemic</w:t>
      </w:r>
      <w:r w:rsidRPr="00E6175F">
        <w:rPr>
          <w:rFonts w:ascii="Georgia" w:hAnsi="Georgia"/>
          <w:sz w:val="24"/>
          <w:szCs w:val="24"/>
        </w:rPr>
        <w:t xml:space="preserve"> at the historical appropriation level of $200 million. </w:t>
      </w:r>
    </w:p>
    <w:p w:rsidR="00E6175F" w:rsidRDefault="00E6175F" w:rsidP="00E6175F">
      <w:pPr>
        <w:spacing w:after="0"/>
        <w:rPr>
          <w:rFonts w:ascii="Georgia" w:hAnsi="Georgia"/>
          <w:sz w:val="24"/>
          <w:szCs w:val="24"/>
        </w:rPr>
      </w:pPr>
    </w:p>
    <w:p w:rsidR="005616F4" w:rsidRPr="00E6175F" w:rsidRDefault="00327EFB" w:rsidP="00E6175F">
      <w:pPr>
        <w:spacing w:after="0"/>
        <w:rPr>
          <w:rFonts w:ascii="Georgia" w:hAnsi="Georgia"/>
          <w:sz w:val="24"/>
          <w:szCs w:val="24"/>
        </w:rPr>
      </w:pPr>
      <w:r w:rsidRPr="00E6175F">
        <w:rPr>
          <w:rFonts w:ascii="Georgia" w:hAnsi="Georgia"/>
          <w:sz w:val="24"/>
          <w:szCs w:val="24"/>
        </w:rPr>
        <w:t xml:space="preserve">In addition, COMPA supports the Executive Budget recommendation of a new surcharge on opioids, which is estimated to raise $127 million. </w:t>
      </w:r>
    </w:p>
    <w:p w:rsidR="00E6175F" w:rsidRDefault="00E6175F" w:rsidP="00E6175F">
      <w:pPr>
        <w:spacing w:after="0"/>
        <w:rPr>
          <w:rFonts w:ascii="Georgia" w:hAnsi="Georgia"/>
          <w:sz w:val="24"/>
          <w:szCs w:val="24"/>
        </w:rPr>
      </w:pPr>
    </w:p>
    <w:p w:rsidR="003117DB" w:rsidRPr="00E6175F" w:rsidRDefault="00327EFB" w:rsidP="00E6175F">
      <w:pPr>
        <w:spacing w:after="0"/>
        <w:rPr>
          <w:rFonts w:ascii="Georgia" w:hAnsi="Georgia" w:cstheme="majorBidi"/>
          <w:sz w:val="24"/>
          <w:szCs w:val="24"/>
        </w:rPr>
      </w:pPr>
      <w:r w:rsidRPr="00E6175F">
        <w:rPr>
          <w:rFonts w:ascii="Georgia" w:hAnsi="Georgia"/>
          <w:sz w:val="24"/>
          <w:szCs w:val="24"/>
        </w:rPr>
        <w:t xml:space="preserve">COMPA requests that ALL funding raised by this surcharge be used to supplement existing spending on opioid addiction and not </w:t>
      </w:r>
      <w:r w:rsidR="00C140F3" w:rsidRPr="00E6175F">
        <w:rPr>
          <w:rFonts w:ascii="Georgia" w:hAnsi="Georgia"/>
          <w:sz w:val="24"/>
          <w:szCs w:val="24"/>
        </w:rPr>
        <w:t>replace existing spending.</w:t>
      </w:r>
      <w:r w:rsidR="00B75250" w:rsidRPr="00E6175F">
        <w:rPr>
          <w:rFonts w:ascii="Georgia" w:hAnsi="Georgia"/>
          <w:sz w:val="24"/>
          <w:szCs w:val="24"/>
        </w:rPr>
        <w:t xml:space="preserve"> </w:t>
      </w:r>
      <w:r w:rsidR="00E6175F">
        <w:rPr>
          <w:rFonts w:ascii="Georgia" w:hAnsi="Georgia"/>
          <w:sz w:val="24"/>
          <w:szCs w:val="24"/>
        </w:rPr>
        <w:t>T</w:t>
      </w:r>
      <w:r w:rsidR="003117DB" w:rsidRPr="00E6175F">
        <w:rPr>
          <w:rFonts w:ascii="Georgia" w:hAnsi="Georgia" w:cstheme="majorBidi"/>
          <w:sz w:val="24"/>
          <w:szCs w:val="24"/>
        </w:rPr>
        <w:t xml:space="preserve">he National Center for Health </w:t>
      </w:r>
      <w:r w:rsidR="003117DB" w:rsidRPr="00E6175F">
        <w:rPr>
          <w:rFonts w:ascii="Georgia" w:hAnsi="Georgia"/>
          <w:sz w:val="24"/>
          <w:szCs w:val="24"/>
        </w:rPr>
        <w:t>Statistics shows</w:t>
      </w:r>
      <w:r w:rsidR="003117DB" w:rsidRPr="00E6175F">
        <w:rPr>
          <w:rFonts w:ascii="Georgia" w:hAnsi="Georgia" w:cstheme="majorBidi"/>
          <w:sz w:val="24"/>
          <w:szCs w:val="24"/>
        </w:rPr>
        <w:t xml:space="preserve"> a 7.7% increase in </w:t>
      </w:r>
      <w:r w:rsidR="003117DB" w:rsidRPr="00E6175F">
        <w:rPr>
          <w:rFonts w:ascii="Georgia" w:hAnsi="Georgia"/>
          <w:sz w:val="24"/>
          <w:szCs w:val="24"/>
        </w:rPr>
        <w:t xml:space="preserve">the </w:t>
      </w:r>
      <w:r w:rsidR="003117DB" w:rsidRPr="00E6175F">
        <w:rPr>
          <w:rFonts w:ascii="Georgia" w:hAnsi="Georgia" w:cstheme="majorBidi"/>
          <w:sz w:val="24"/>
          <w:szCs w:val="24"/>
        </w:rPr>
        <w:t>12 Month-ending Provisional Counts of Drug Overdose Deaths</w:t>
      </w:r>
      <w:r w:rsidR="003117DB" w:rsidRPr="00E6175F">
        <w:rPr>
          <w:rFonts w:ascii="Georgia" w:hAnsi="Georgia"/>
          <w:sz w:val="24"/>
          <w:szCs w:val="24"/>
        </w:rPr>
        <w:t xml:space="preserve"> for New York State and a 19.3% increase for New York City (US CDC/National Center for Health Statistics, 2018).</w:t>
      </w:r>
    </w:p>
    <w:p w:rsidR="00E6175F" w:rsidRDefault="00E6175F" w:rsidP="00E6175F">
      <w:pPr>
        <w:spacing w:after="0"/>
        <w:rPr>
          <w:rFonts w:ascii="Georgia" w:hAnsi="Georgia"/>
          <w:sz w:val="24"/>
          <w:szCs w:val="24"/>
        </w:rPr>
      </w:pPr>
    </w:p>
    <w:p w:rsidR="00327EFB" w:rsidRDefault="00C140F3" w:rsidP="00E6175F">
      <w:pPr>
        <w:spacing w:after="0"/>
        <w:rPr>
          <w:rFonts w:ascii="Georgia" w:hAnsi="Georgia"/>
          <w:sz w:val="24"/>
          <w:szCs w:val="24"/>
        </w:rPr>
      </w:pPr>
      <w:r w:rsidRPr="00E6175F">
        <w:rPr>
          <w:rFonts w:ascii="Georgia" w:hAnsi="Georgia"/>
          <w:sz w:val="24"/>
          <w:szCs w:val="24"/>
        </w:rPr>
        <w:t xml:space="preserve">The State needs every available dollar to help combat this </w:t>
      </w:r>
      <w:r w:rsidR="003117DB" w:rsidRPr="00E6175F">
        <w:rPr>
          <w:rFonts w:ascii="Georgia" w:hAnsi="Georgia"/>
          <w:sz w:val="24"/>
          <w:szCs w:val="24"/>
        </w:rPr>
        <w:t xml:space="preserve">nationally declared </w:t>
      </w:r>
      <w:r w:rsidRPr="00E6175F">
        <w:rPr>
          <w:rFonts w:ascii="Georgia" w:hAnsi="Georgia"/>
          <w:sz w:val="24"/>
          <w:szCs w:val="24"/>
        </w:rPr>
        <w:t xml:space="preserve">public health </w:t>
      </w:r>
      <w:r w:rsidR="003117DB" w:rsidRPr="00E6175F">
        <w:rPr>
          <w:rFonts w:ascii="Georgia" w:hAnsi="Georgia"/>
          <w:sz w:val="24"/>
          <w:szCs w:val="24"/>
        </w:rPr>
        <w:t>emergency</w:t>
      </w:r>
      <w:r w:rsidRPr="00E6175F">
        <w:rPr>
          <w:rFonts w:ascii="Georgia" w:hAnsi="Georgia"/>
          <w:sz w:val="24"/>
          <w:szCs w:val="24"/>
        </w:rPr>
        <w:t xml:space="preserve">. </w:t>
      </w:r>
      <w:r w:rsidR="00327EFB" w:rsidRPr="00E6175F">
        <w:rPr>
          <w:rFonts w:ascii="Georgia" w:hAnsi="Georgia"/>
          <w:sz w:val="24"/>
          <w:szCs w:val="24"/>
        </w:rPr>
        <w:t xml:space="preserve">  </w:t>
      </w:r>
    </w:p>
    <w:p w:rsidR="00E6175F" w:rsidRPr="00E6175F" w:rsidRDefault="00E6175F" w:rsidP="00E6175F">
      <w:pPr>
        <w:spacing w:after="0"/>
        <w:rPr>
          <w:rFonts w:ascii="Georgia" w:hAnsi="Georgia"/>
          <w:sz w:val="24"/>
          <w:szCs w:val="24"/>
        </w:rPr>
      </w:pPr>
    </w:p>
    <w:p w:rsidR="00327EFB" w:rsidRPr="00794A32" w:rsidRDefault="00327EFB" w:rsidP="00E6175F">
      <w:pPr>
        <w:spacing w:after="0"/>
        <w:jc w:val="both"/>
        <w:rPr>
          <w:rFonts w:ascii="Georgia" w:hAnsi="Georgia" w:cs="Arial"/>
          <w:b/>
          <w:sz w:val="24"/>
          <w:szCs w:val="24"/>
          <w:u w:val="single"/>
        </w:rPr>
      </w:pPr>
      <w:r w:rsidRPr="00794A32">
        <w:rPr>
          <w:rFonts w:ascii="Georgia" w:hAnsi="Georgia" w:cs="Arial"/>
          <w:b/>
          <w:sz w:val="24"/>
          <w:szCs w:val="24"/>
          <w:u w:val="single"/>
        </w:rPr>
        <w:t>Workforce Salary Enhancements</w:t>
      </w:r>
    </w:p>
    <w:p w:rsidR="00327EFB" w:rsidRDefault="00327EFB" w:rsidP="00E6175F">
      <w:pPr>
        <w:spacing w:after="0"/>
        <w:jc w:val="both"/>
        <w:rPr>
          <w:rFonts w:ascii="Georgia" w:hAnsi="Georgia"/>
          <w:sz w:val="24"/>
          <w:szCs w:val="24"/>
        </w:rPr>
      </w:pPr>
      <w:r w:rsidRPr="00794A32">
        <w:rPr>
          <w:rFonts w:ascii="Georgia" w:hAnsi="Georgia" w:cs="Arial"/>
          <w:sz w:val="24"/>
          <w:szCs w:val="24"/>
        </w:rPr>
        <w:t xml:space="preserve">COMPA appreciates that the FY 2018-19 Executive Budget honors the agreement made in the previous budget to provide a 3.25% salary increase for direct care </w:t>
      </w:r>
      <w:r w:rsidR="00794A32" w:rsidRPr="00794A32">
        <w:rPr>
          <w:rFonts w:ascii="Georgia" w:hAnsi="Georgia" w:cs="Arial"/>
          <w:sz w:val="24"/>
          <w:szCs w:val="24"/>
        </w:rPr>
        <w:t xml:space="preserve">staff, direct support </w:t>
      </w:r>
      <w:r w:rsidRPr="00794A32">
        <w:rPr>
          <w:rFonts w:ascii="Georgia" w:hAnsi="Georgia" w:cs="Arial"/>
          <w:sz w:val="24"/>
          <w:szCs w:val="24"/>
        </w:rPr>
        <w:t>workers</w:t>
      </w:r>
      <w:r w:rsidR="00794A32" w:rsidRPr="00794A32">
        <w:rPr>
          <w:rFonts w:ascii="Georgia" w:hAnsi="Georgia" w:cs="Arial"/>
          <w:sz w:val="24"/>
          <w:szCs w:val="24"/>
        </w:rPr>
        <w:t xml:space="preserve">, </w:t>
      </w:r>
      <w:r w:rsidRPr="00794A32">
        <w:rPr>
          <w:rFonts w:ascii="Georgia" w:hAnsi="Georgia" w:cs="Arial"/>
          <w:sz w:val="24"/>
          <w:szCs w:val="24"/>
        </w:rPr>
        <w:t>and clinical workers</w:t>
      </w:r>
      <w:r w:rsidR="00794A32" w:rsidRPr="00794A32">
        <w:rPr>
          <w:rFonts w:ascii="Georgia" w:hAnsi="Georgia" w:cs="Arial"/>
          <w:sz w:val="24"/>
          <w:szCs w:val="24"/>
        </w:rPr>
        <w:t xml:space="preserve"> in 2018</w:t>
      </w:r>
      <w:r w:rsidRPr="00794A32">
        <w:rPr>
          <w:rFonts w:ascii="Georgia" w:hAnsi="Georgia" w:cs="Arial"/>
          <w:sz w:val="24"/>
          <w:szCs w:val="24"/>
        </w:rPr>
        <w:t xml:space="preserve">. </w:t>
      </w:r>
      <w:r w:rsidR="00794A32" w:rsidRPr="00794A32">
        <w:rPr>
          <w:rFonts w:ascii="Georgia" w:hAnsi="Georgia" w:cs="Arial"/>
          <w:sz w:val="24"/>
          <w:szCs w:val="24"/>
        </w:rPr>
        <w:t xml:space="preserve">This will be the second increase for </w:t>
      </w:r>
      <w:r w:rsidR="00794A32" w:rsidRPr="00794A32">
        <w:rPr>
          <w:rFonts w:ascii="Georgia" w:hAnsi="Georgia"/>
          <w:sz w:val="24"/>
          <w:szCs w:val="24"/>
        </w:rPr>
        <w:t xml:space="preserve">direct care staff and direct support staff, who received a salary enhancement of 3.25% on January 1, 2018. These increases are necessary to address the workforce shortage and high turnover rates in the behavioral health sector. </w:t>
      </w:r>
    </w:p>
    <w:p w:rsidR="005616F4" w:rsidRDefault="005616F4" w:rsidP="00E6175F">
      <w:pPr>
        <w:spacing w:after="0"/>
        <w:jc w:val="both"/>
        <w:rPr>
          <w:rFonts w:ascii="Georgia" w:hAnsi="Georgia" w:cs="Arial"/>
          <w:sz w:val="24"/>
          <w:szCs w:val="24"/>
        </w:rPr>
      </w:pPr>
    </w:p>
    <w:p w:rsidR="005616F4" w:rsidRPr="00794A32" w:rsidRDefault="005616F4" w:rsidP="00E6175F">
      <w:pPr>
        <w:spacing w:after="0"/>
        <w:jc w:val="both"/>
        <w:rPr>
          <w:rFonts w:ascii="Georgia" w:hAnsi="Georgia" w:cs="Arial"/>
          <w:sz w:val="24"/>
          <w:szCs w:val="24"/>
        </w:rPr>
      </w:pPr>
      <w:r>
        <w:rPr>
          <w:rFonts w:ascii="Georgia" w:hAnsi="Georgia" w:cs="Arial"/>
          <w:sz w:val="24"/>
          <w:szCs w:val="24"/>
        </w:rPr>
        <w:t xml:space="preserve">COMPA is disappointed that the COLA for workers in OASAS licensed or certified programs was eliminated as part of the FY 2018-19 Executive Budget. </w:t>
      </w:r>
    </w:p>
    <w:p w:rsidR="005616F4" w:rsidRDefault="005616F4" w:rsidP="00E6175F">
      <w:pPr>
        <w:spacing w:after="0"/>
        <w:jc w:val="both"/>
        <w:rPr>
          <w:rFonts w:ascii="Georgia" w:hAnsi="Georgia" w:cs="Arial"/>
          <w:b/>
          <w:sz w:val="24"/>
          <w:szCs w:val="24"/>
          <w:u w:val="single"/>
        </w:rPr>
      </w:pPr>
    </w:p>
    <w:p w:rsidR="0024135D" w:rsidRPr="00794A32" w:rsidRDefault="00C140F3" w:rsidP="00E6175F">
      <w:pPr>
        <w:spacing w:after="0"/>
        <w:jc w:val="both"/>
        <w:rPr>
          <w:rFonts w:ascii="Georgia" w:hAnsi="Georgia" w:cs="Arial"/>
          <w:b/>
          <w:sz w:val="24"/>
          <w:szCs w:val="24"/>
          <w:u w:val="single"/>
        </w:rPr>
      </w:pPr>
      <w:r>
        <w:rPr>
          <w:rFonts w:ascii="Georgia" w:hAnsi="Georgia" w:cs="Arial"/>
          <w:b/>
          <w:sz w:val="24"/>
          <w:szCs w:val="24"/>
          <w:u w:val="single"/>
        </w:rPr>
        <w:t>E</w:t>
      </w:r>
      <w:r w:rsidR="00352B36" w:rsidRPr="00794A32">
        <w:rPr>
          <w:rFonts w:ascii="Georgia" w:hAnsi="Georgia" w:cs="Arial"/>
          <w:b/>
          <w:sz w:val="24"/>
          <w:szCs w:val="24"/>
          <w:u w:val="single"/>
        </w:rPr>
        <w:t xml:space="preserve">nsuring </w:t>
      </w:r>
      <w:r>
        <w:rPr>
          <w:rFonts w:ascii="Georgia" w:hAnsi="Georgia" w:cs="Arial"/>
          <w:b/>
          <w:sz w:val="24"/>
          <w:szCs w:val="24"/>
          <w:u w:val="single"/>
        </w:rPr>
        <w:t>Commercial Insurance Coverage in order to Increase Access to Treatment</w:t>
      </w:r>
    </w:p>
    <w:p w:rsidR="00352B36" w:rsidRPr="00794A32" w:rsidRDefault="00D856EC" w:rsidP="00E6175F">
      <w:pPr>
        <w:spacing w:after="0"/>
        <w:jc w:val="both"/>
        <w:rPr>
          <w:rFonts w:ascii="Georgia" w:hAnsi="Georgia" w:cs="Arial"/>
          <w:color w:val="000000"/>
          <w:sz w:val="24"/>
          <w:szCs w:val="24"/>
          <w:shd w:val="clear" w:color="auto" w:fill="FFFFFF"/>
        </w:rPr>
      </w:pPr>
      <w:r w:rsidRPr="00794A32">
        <w:rPr>
          <w:rFonts w:ascii="Georgia" w:hAnsi="Georgia" w:cs="Arial"/>
          <w:color w:val="000000"/>
          <w:sz w:val="24"/>
          <w:szCs w:val="24"/>
          <w:shd w:val="clear" w:color="auto" w:fill="FFFFFF"/>
        </w:rPr>
        <w:t>The</w:t>
      </w:r>
      <w:r w:rsidR="00507022" w:rsidRPr="00794A32">
        <w:rPr>
          <w:rFonts w:ascii="Georgia" w:hAnsi="Georgia" w:cs="Arial"/>
          <w:color w:val="000000"/>
          <w:sz w:val="24"/>
          <w:szCs w:val="24"/>
          <w:shd w:val="clear" w:color="auto" w:fill="FFFFFF"/>
        </w:rPr>
        <w:t xml:space="preserve"> protections in the </w:t>
      </w:r>
      <w:r w:rsidR="00C140F3">
        <w:rPr>
          <w:rFonts w:ascii="Georgia" w:hAnsi="Georgia" w:cs="Arial"/>
          <w:color w:val="000000"/>
          <w:sz w:val="24"/>
          <w:szCs w:val="24"/>
          <w:shd w:val="clear" w:color="auto" w:fill="FFFFFF"/>
        </w:rPr>
        <w:t xml:space="preserve">federal </w:t>
      </w:r>
      <w:r w:rsidR="00507022" w:rsidRPr="00794A32">
        <w:rPr>
          <w:rFonts w:ascii="Georgia" w:hAnsi="Georgia" w:cs="Arial"/>
          <w:color w:val="000000"/>
          <w:sz w:val="24"/>
          <w:szCs w:val="24"/>
          <w:shd w:val="clear" w:color="auto" w:fill="FFFFFF"/>
        </w:rPr>
        <w:t>Mental Health Parity and Addiction Equity Act of 2008 have been expanded in the 21</w:t>
      </w:r>
      <w:r w:rsidR="00507022" w:rsidRPr="00794A32">
        <w:rPr>
          <w:rFonts w:ascii="Georgia" w:hAnsi="Georgia" w:cs="Arial"/>
          <w:color w:val="000000"/>
          <w:sz w:val="24"/>
          <w:szCs w:val="24"/>
          <w:shd w:val="clear" w:color="auto" w:fill="FFFFFF"/>
          <w:vertAlign w:val="superscript"/>
        </w:rPr>
        <w:t>st</w:t>
      </w:r>
      <w:r w:rsidR="00507022" w:rsidRPr="00794A32">
        <w:rPr>
          <w:rFonts w:ascii="Georgia" w:hAnsi="Georgia" w:cs="Arial"/>
          <w:color w:val="000000"/>
          <w:sz w:val="24"/>
          <w:szCs w:val="24"/>
          <w:shd w:val="clear" w:color="auto" w:fill="FFFFFF"/>
        </w:rPr>
        <w:t xml:space="preserve"> Century Cures Act</w:t>
      </w:r>
      <w:r w:rsidR="004677DD" w:rsidRPr="00794A32">
        <w:rPr>
          <w:rFonts w:ascii="Georgia" w:hAnsi="Georgia" w:cs="Arial"/>
          <w:color w:val="000000"/>
          <w:sz w:val="24"/>
          <w:szCs w:val="24"/>
          <w:shd w:val="clear" w:color="auto" w:fill="FFFFFF"/>
        </w:rPr>
        <w:t xml:space="preserve">. </w:t>
      </w:r>
      <w:r w:rsidRPr="00794A32">
        <w:rPr>
          <w:rFonts w:ascii="Georgia" w:hAnsi="Georgia" w:cs="Arial"/>
          <w:color w:val="000000"/>
          <w:sz w:val="24"/>
          <w:szCs w:val="24"/>
          <w:shd w:val="clear" w:color="auto" w:fill="FFFFFF"/>
        </w:rPr>
        <w:t xml:space="preserve"> Governor Cuomo and the New York State Legislature passed several laws </w:t>
      </w:r>
      <w:r w:rsidR="00C140F3">
        <w:rPr>
          <w:rFonts w:ascii="Georgia" w:hAnsi="Georgia" w:cs="Arial"/>
          <w:color w:val="000000"/>
          <w:sz w:val="24"/>
          <w:szCs w:val="24"/>
          <w:shd w:val="clear" w:color="auto" w:fill="FFFFFF"/>
        </w:rPr>
        <w:t>that</w:t>
      </w:r>
      <w:r w:rsidRPr="00794A32">
        <w:rPr>
          <w:rFonts w:ascii="Georgia" w:hAnsi="Georgia" w:cs="Arial"/>
          <w:color w:val="000000"/>
          <w:sz w:val="24"/>
          <w:szCs w:val="24"/>
          <w:shd w:val="clear" w:color="auto" w:fill="FFFFFF"/>
        </w:rPr>
        <w:t xml:space="preserve"> </w:t>
      </w:r>
      <w:r w:rsidR="007A32F6" w:rsidRPr="00794A32">
        <w:rPr>
          <w:rFonts w:ascii="Georgia" w:hAnsi="Georgia" w:cs="Arial"/>
          <w:color w:val="000000"/>
          <w:sz w:val="24"/>
          <w:szCs w:val="24"/>
          <w:shd w:val="clear" w:color="auto" w:fill="FFFFFF"/>
        </w:rPr>
        <w:t>went</w:t>
      </w:r>
      <w:r w:rsidRPr="00794A32">
        <w:rPr>
          <w:rFonts w:ascii="Georgia" w:hAnsi="Georgia" w:cs="Arial"/>
          <w:color w:val="000000"/>
          <w:sz w:val="24"/>
          <w:szCs w:val="24"/>
          <w:shd w:val="clear" w:color="auto" w:fill="FFFFFF"/>
        </w:rPr>
        <w:t xml:space="preserve"> into effect January 1, 2017</w:t>
      </w:r>
      <w:r w:rsidR="00C140F3">
        <w:rPr>
          <w:rFonts w:ascii="Georgia" w:hAnsi="Georgia" w:cs="Arial"/>
          <w:color w:val="000000"/>
          <w:sz w:val="24"/>
          <w:szCs w:val="24"/>
          <w:shd w:val="clear" w:color="auto" w:fill="FFFFFF"/>
        </w:rPr>
        <w:t>, which reflect the federal measures</w:t>
      </w:r>
      <w:r w:rsidR="005517A9" w:rsidRPr="00794A32">
        <w:rPr>
          <w:rFonts w:ascii="Georgia" w:hAnsi="Georgia" w:cs="Arial"/>
          <w:color w:val="000000"/>
          <w:sz w:val="24"/>
          <w:szCs w:val="24"/>
          <w:shd w:val="clear" w:color="auto" w:fill="FFFFFF"/>
        </w:rPr>
        <w:t xml:space="preserve">. These </w:t>
      </w:r>
      <w:r w:rsidR="00C140F3">
        <w:rPr>
          <w:rFonts w:ascii="Georgia" w:hAnsi="Georgia" w:cs="Arial"/>
          <w:color w:val="000000"/>
          <w:sz w:val="24"/>
          <w:szCs w:val="24"/>
          <w:shd w:val="clear" w:color="auto" w:fill="FFFFFF"/>
        </w:rPr>
        <w:t>initiatives</w:t>
      </w:r>
      <w:r w:rsidRPr="00794A32">
        <w:rPr>
          <w:rFonts w:ascii="Georgia" w:hAnsi="Georgia" w:cs="Arial"/>
          <w:color w:val="000000"/>
          <w:sz w:val="24"/>
          <w:szCs w:val="24"/>
          <w:shd w:val="clear" w:color="auto" w:fill="FFFFFF"/>
        </w:rPr>
        <w:t xml:space="preserve"> address gaps in parity in health plans and help ensure that behavioral health services are not offered at a lesser benefit than medical/surgical health services. </w:t>
      </w:r>
      <w:r w:rsidR="004677DD" w:rsidRPr="00794A32">
        <w:rPr>
          <w:rFonts w:ascii="Georgia" w:hAnsi="Georgia" w:cs="Arial"/>
          <w:color w:val="000000"/>
          <w:sz w:val="24"/>
          <w:szCs w:val="24"/>
          <w:shd w:val="clear" w:color="auto" w:fill="FFFFFF"/>
        </w:rPr>
        <w:t xml:space="preserve">Despite this progress, </w:t>
      </w:r>
      <w:r w:rsidR="00C31BA2" w:rsidRPr="00794A32">
        <w:rPr>
          <w:rFonts w:ascii="Georgia" w:hAnsi="Georgia" w:cs="Arial"/>
          <w:color w:val="000000"/>
          <w:sz w:val="24"/>
          <w:szCs w:val="24"/>
          <w:shd w:val="clear" w:color="auto" w:fill="FFFFFF"/>
        </w:rPr>
        <w:t xml:space="preserve">patients are still experiencing obstacles to treatment on the commercial </w:t>
      </w:r>
      <w:r w:rsidR="00DA1A15" w:rsidRPr="00794A32">
        <w:rPr>
          <w:rFonts w:ascii="Georgia" w:hAnsi="Georgia" w:cs="Arial"/>
          <w:color w:val="000000"/>
          <w:sz w:val="24"/>
          <w:szCs w:val="24"/>
          <w:shd w:val="clear" w:color="auto" w:fill="FFFFFF"/>
        </w:rPr>
        <w:t xml:space="preserve">insurance </w:t>
      </w:r>
      <w:r w:rsidR="00C31BA2" w:rsidRPr="00794A32">
        <w:rPr>
          <w:rFonts w:ascii="Georgia" w:hAnsi="Georgia" w:cs="Arial"/>
          <w:color w:val="000000"/>
          <w:sz w:val="24"/>
          <w:szCs w:val="24"/>
          <w:shd w:val="clear" w:color="auto" w:fill="FFFFFF"/>
        </w:rPr>
        <w:t xml:space="preserve">side. </w:t>
      </w:r>
      <w:r w:rsidR="00D02D5E" w:rsidRPr="00794A32">
        <w:rPr>
          <w:rFonts w:ascii="Georgia" w:hAnsi="Georgia" w:cs="Arial"/>
          <w:color w:val="000000"/>
          <w:sz w:val="24"/>
          <w:szCs w:val="24"/>
          <w:shd w:val="clear" w:color="auto" w:fill="FFFFFF"/>
        </w:rPr>
        <w:t xml:space="preserve">One of the new laws </w:t>
      </w:r>
      <w:r w:rsidR="00636E22" w:rsidRPr="00794A32">
        <w:rPr>
          <w:rFonts w:ascii="Georgia" w:hAnsi="Georgia" w:cs="Arial"/>
          <w:color w:val="000000"/>
          <w:sz w:val="24"/>
          <w:szCs w:val="24"/>
          <w:shd w:val="clear" w:color="auto" w:fill="FFFFFF"/>
        </w:rPr>
        <w:t xml:space="preserve">made changes to the Medicaid program to enable recipients to easily access services. The type of insurance coverage should not matter. </w:t>
      </w:r>
      <w:r w:rsidR="005517A9" w:rsidRPr="00794A32">
        <w:rPr>
          <w:rFonts w:ascii="Georgia" w:hAnsi="Georgia" w:cs="Arial"/>
          <w:color w:val="000000"/>
          <w:sz w:val="24"/>
          <w:szCs w:val="24"/>
          <w:shd w:val="clear" w:color="auto" w:fill="FFFFFF"/>
        </w:rPr>
        <w:t xml:space="preserve">In order for everyone suffering from opioid addiction </w:t>
      </w:r>
      <w:r w:rsidR="00C31BA2" w:rsidRPr="00794A32">
        <w:rPr>
          <w:rFonts w:ascii="Georgia" w:hAnsi="Georgia" w:cs="Arial"/>
          <w:color w:val="000000"/>
          <w:sz w:val="24"/>
          <w:szCs w:val="24"/>
          <w:shd w:val="clear" w:color="auto" w:fill="FFFFFF"/>
        </w:rPr>
        <w:t xml:space="preserve">to have access to treatment </w:t>
      </w:r>
      <w:r w:rsidR="003611DA" w:rsidRPr="00794A32">
        <w:rPr>
          <w:rFonts w:ascii="Georgia" w:hAnsi="Georgia" w:cs="Arial"/>
          <w:color w:val="000000"/>
          <w:sz w:val="24"/>
          <w:szCs w:val="24"/>
          <w:shd w:val="clear" w:color="auto" w:fill="FFFFFF"/>
        </w:rPr>
        <w:t xml:space="preserve">and to protect against any </w:t>
      </w:r>
      <w:r w:rsidR="00C31BA2" w:rsidRPr="00794A32">
        <w:rPr>
          <w:rFonts w:ascii="Georgia" w:hAnsi="Georgia" w:cs="Arial"/>
          <w:color w:val="000000"/>
          <w:sz w:val="24"/>
          <w:szCs w:val="24"/>
          <w:shd w:val="clear" w:color="auto" w:fill="FFFFFF"/>
        </w:rPr>
        <w:t xml:space="preserve">interruptions in treatment, COMPA recommends </w:t>
      </w:r>
      <w:r w:rsidR="003C047F" w:rsidRPr="00794A32">
        <w:rPr>
          <w:rFonts w:ascii="Georgia" w:hAnsi="Georgia" w:cs="Arial"/>
          <w:color w:val="000000"/>
          <w:sz w:val="24"/>
          <w:szCs w:val="24"/>
          <w:shd w:val="clear" w:color="auto" w:fill="FFFFFF"/>
        </w:rPr>
        <w:t xml:space="preserve">that </w:t>
      </w:r>
      <w:r w:rsidR="00C140F3">
        <w:rPr>
          <w:rFonts w:ascii="Georgia" w:hAnsi="Georgia" w:cs="Arial"/>
          <w:color w:val="000000"/>
          <w:sz w:val="24"/>
          <w:szCs w:val="24"/>
          <w:shd w:val="clear" w:color="auto" w:fill="FFFFFF"/>
        </w:rPr>
        <w:t xml:space="preserve">the Final FY 2018-19 State Budget include the </w:t>
      </w:r>
      <w:r w:rsidR="007A32F6" w:rsidRPr="00794A32">
        <w:rPr>
          <w:rFonts w:ascii="Georgia" w:hAnsi="Georgia" w:cs="Arial"/>
          <w:color w:val="000000"/>
          <w:sz w:val="24"/>
          <w:szCs w:val="24"/>
          <w:shd w:val="clear" w:color="auto" w:fill="FFFFFF"/>
        </w:rPr>
        <w:t xml:space="preserve">following provisions with regard to </w:t>
      </w:r>
      <w:r w:rsidR="003C047F" w:rsidRPr="00794A32">
        <w:rPr>
          <w:rFonts w:ascii="Georgia" w:hAnsi="Georgia" w:cs="Arial"/>
          <w:b/>
          <w:color w:val="000000"/>
          <w:sz w:val="24"/>
          <w:szCs w:val="24"/>
          <w:shd w:val="clear" w:color="auto" w:fill="FFFFFF"/>
        </w:rPr>
        <w:t>commercial insurance</w:t>
      </w:r>
      <w:r w:rsidR="003C047F" w:rsidRPr="00794A32">
        <w:rPr>
          <w:rFonts w:ascii="Georgia" w:hAnsi="Georgia" w:cs="Arial"/>
          <w:color w:val="000000"/>
          <w:sz w:val="24"/>
          <w:szCs w:val="24"/>
          <w:shd w:val="clear" w:color="auto" w:fill="FFFFFF"/>
        </w:rPr>
        <w:t xml:space="preserve">: </w:t>
      </w:r>
    </w:p>
    <w:p w:rsidR="00327EFB" w:rsidRPr="00794A32" w:rsidRDefault="00327EFB" w:rsidP="00E6175F">
      <w:pPr>
        <w:spacing w:after="0" w:line="240" w:lineRule="auto"/>
        <w:ind w:left="720"/>
        <w:jc w:val="both"/>
        <w:rPr>
          <w:rFonts w:ascii="Georgia" w:eastAsia="Times New Roman" w:hAnsi="Georgia"/>
          <w:sz w:val="24"/>
          <w:szCs w:val="24"/>
        </w:rPr>
      </w:pPr>
    </w:p>
    <w:p w:rsidR="00327EFB" w:rsidRPr="00794A32" w:rsidRDefault="00327EFB" w:rsidP="00E6175F">
      <w:pPr>
        <w:numPr>
          <w:ilvl w:val="0"/>
          <w:numId w:val="48"/>
        </w:numPr>
        <w:spacing w:after="0" w:line="240" w:lineRule="auto"/>
        <w:jc w:val="both"/>
        <w:rPr>
          <w:rFonts w:ascii="Georgia" w:eastAsia="Times New Roman" w:hAnsi="Georgia"/>
          <w:sz w:val="24"/>
          <w:szCs w:val="24"/>
        </w:rPr>
      </w:pPr>
      <w:r w:rsidRPr="00794A32">
        <w:rPr>
          <w:rFonts w:ascii="Georgia" w:eastAsia="Times New Roman" w:hAnsi="Georgia"/>
          <w:sz w:val="24"/>
          <w:szCs w:val="24"/>
        </w:rPr>
        <w:t xml:space="preserve">Require Managed Care Organizations (MCOs) to include OTPs in their network of authorized providers, </w:t>
      </w:r>
      <w:r w:rsidRPr="00794A32">
        <w:rPr>
          <w:rFonts w:ascii="Georgia" w:hAnsi="Georgia" w:cs="Times New Roman"/>
          <w:sz w:val="24"/>
          <w:szCs w:val="24"/>
        </w:rPr>
        <w:t xml:space="preserve">if the provider is willing to meet the terms and conditions for participation established by the carrier. </w:t>
      </w:r>
      <w:r w:rsidRPr="00794A32">
        <w:rPr>
          <w:rFonts w:ascii="Georgia" w:eastAsia="Times New Roman" w:hAnsi="Georgia"/>
          <w:sz w:val="24"/>
          <w:szCs w:val="24"/>
        </w:rPr>
        <w:t xml:space="preserve">Currently, many plans do not contract with OTPs. This is particularly true in New York City. Even though insurers might cover OTP services, if there is no OTP in the network, people cannot access these services. Requiring the inclusion of an Opioid Treatment Program in </w:t>
      </w:r>
      <w:r w:rsidRPr="00794A32">
        <w:rPr>
          <w:rFonts w:ascii="Georgia" w:eastAsia="Times New Roman" w:hAnsi="Georgia"/>
          <w:sz w:val="24"/>
          <w:szCs w:val="24"/>
        </w:rPr>
        <w:lastRenderedPageBreak/>
        <w:t xml:space="preserve">the MCO’s network provides an opportunity for the OTP to negotiate for the chance to participate as a covered provider.  </w:t>
      </w:r>
    </w:p>
    <w:p w:rsidR="005517A9" w:rsidRPr="00794A32" w:rsidRDefault="005517A9" w:rsidP="00E6175F">
      <w:pPr>
        <w:spacing w:after="0" w:line="240" w:lineRule="auto"/>
        <w:ind w:left="720"/>
        <w:jc w:val="both"/>
        <w:rPr>
          <w:rFonts w:ascii="Georgia" w:eastAsia="Times New Roman" w:hAnsi="Georgia"/>
          <w:color w:val="000000"/>
          <w:sz w:val="24"/>
          <w:szCs w:val="24"/>
        </w:rPr>
      </w:pPr>
    </w:p>
    <w:p w:rsidR="005517A9" w:rsidRPr="00794A32" w:rsidRDefault="005517A9" w:rsidP="00E6175F">
      <w:pPr>
        <w:numPr>
          <w:ilvl w:val="0"/>
          <w:numId w:val="48"/>
        </w:numPr>
        <w:spacing w:after="0" w:line="240" w:lineRule="auto"/>
        <w:jc w:val="both"/>
        <w:rPr>
          <w:rFonts w:ascii="Georgia" w:eastAsia="Times New Roman" w:hAnsi="Georgia"/>
          <w:sz w:val="24"/>
          <w:szCs w:val="24"/>
        </w:rPr>
      </w:pPr>
      <w:r w:rsidRPr="00794A32">
        <w:rPr>
          <w:rFonts w:ascii="Georgia" w:eastAsia="Times New Roman" w:hAnsi="Georgia"/>
          <w:sz w:val="24"/>
          <w:szCs w:val="24"/>
        </w:rPr>
        <w:t xml:space="preserve">Prohibit copays for treatment at Opioid Treatment Programs </w:t>
      </w:r>
      <w:r w:rsidR="005616F4" w:rsidRPr="00794A32">
        <w:rPr>
          <w:rFonts w:ascii="Georgia" w:eastAsia="Times New Roman" w:hAnsi="Georgia"/>
          <w:sz w:val="24"/>
          <w:szCs w:val="24"/>
        </w:rPr>
        <w:t>(A.9082)</w:t>
      </w:r>
      <w:r w:rsidRPr="00794A32">
        <w:rPr>
          <w:rFonts w:ascii="Georgia" w:eastAsia="Times New Roman" w:hAnsi="Georgia"/>
          <w:sz w:val="24"/>
          <w:szCs w:val="24"/>
        </w:rPr>
        <w:t xml:space="preserve">; private insurance, including plans available under the Affordable Act, require co-pays to be collected at each visit.  This requirement creates a barrier to OTP treatment services, as it does not take into account the frequency of patient visits. </w:t>
      </w:r>
      <w:r w:rsidR="00C140F3">
        <w:rPr>
          <w:rFonts w:ascii="Georgia" w:eastAsia="Times New Roman" w:hAnsi="Georgia"/>
          <w:sz w:val="24"/>
          <w:szCs w:val="24"/>
        </w:rPr>
        <w:t>For example. a</w:t>
      </w:r>
      <w:r w:rsidRPr="00794A32">
        <w:rPr>
          <w:rFonts w:ascii="Georgia" w:eastAsia="Times New Roman" w:hAnsi="Georgia"/>
          <w:sz w:val="24"/>
          <w:szCs w:val="24"/>
        </w:rPr>
        <w:t>t the start of treatment, patients</w:t>
      </w:r>
      <w:r w:rsidR="00C140F3">
        <w:rPr>
          <w:rFonts w:ascii="Georgia" w:eastAsia="Times New Roman" w:hAnsi="Georgia"/>
          <w:sz w:val="24"/>
          <w:szCs w:val="24"/>
        </w:rPr>
        <w:t xml:space="preserve"> receiving Methadone</w:t>
      </w:r>
      <w:r w:rsidRPr="00794A32">
        <w:rPr>
          <w:rFonts w:ascii="Georgia" w:eastAsia="Times New Roman" w:hAnsi="Georgia"/>
          <w:sz w:val="24"/>
          <w:szCs w:val="24"/>
        </w:rPr>
        <w:t xml:space="preserve"> are required by federal law to receive treatment up to 6 times a week for 90 days. Once that 90 days is up, many patients still</w:t>
      </w:r>
      <w:r w:rsidR="004E4B82">
        <w:rPr>
          <w:rFonts w:ascii="Georgia" w:eastAsia="Times New Roman" w:hAnsi="Georgia"/>
          <w:sz w:val="24"/>
          <w:szCs w:val="24"/>
        </w:rPr>
        <w:t xml:space="preserve"> require visits for medication </w:t>
      </w:r>
      <w:r w:rsidRPr="00794A32">
        <w:rPr>
          <w:rFonts w:ascii="Georgia" w:eastAsia="Times New Roman" w:hAnsi="Georgia"/>
          <w:sz w:val="24"/>
          <w:szCs w:val="24"/>
        </w:rPr>
        <w:t xml:space="preserve">several times a week. Requiring daily co-pays under these circumstances becomes cost-prohibitive for people seeking treatment. </w:t>
      </w:r>
      <w:r w:rsidRPr="00794A32">
        <w:rPr>
          <w:rFonts w:ascii="Georgia" w:eastAsia="Times New Roman" w:hAnsi="Georgia"/>
          <w:i/>
          <w:iCs/>
          <w:sz w:val="24"/>
          <w:szCs w:val="24"/>
        </w:rPr>
        <w:t> It is unlawful for providers to waive coinsurance, deductibles and co-pays as regular business practice</w:t>
      </w:r>
      <w:r w:rsidR="005616F4">
        <w:rPr>
          <w:rFonts w:ascii="Georgia" w:eastAsia="Times New Roman" w:hAnsi="Georgia"/>
          <w:i/>
          <w:iCs/>
          <w:sz w:val="24"/>
          <w:szCs w:val="24"/>
        </w:rPr>
        <w:t>.</w:t>
      </w:r>
      <w:r w:rsidR="00327EFB" w:rsidRPr="00794A32">
        <w:rPr>
          <w:rFonts w:ascii="Georgia" w:eastAsia="Times New Roman" w:hAnsi="Georgia"/>
          <w:i/>
          <w:iCs/>
          <w:sz w:val="24"/>
          <w:szCs w:val="24"/>
        </w:rPr>
        <w:t xml:space="preserve"> </w:t>
      </w:r>
    </w:p>
    <w:p w:rsidR="00327EFB" w:rsidRPr="00794A32" w:rsidRDefault="00327EFB" w:rsidP="00E6175F">
      <w:pPr>
        <w:spacing w:after="0" w:line="240" w:lineRule="auto"/>
        <w:ind w:left="720"/>
        <w:jc w:val="both"/>
        <w:rPr>
          <w:rFonts w:ascii="Georgia" w:eastAsia="Times New Roman" w:hAnsi="Georgia"/>
          <w:sz w:val="24"/>
          <w:szCs w:val="24"/>
        </w:rPr>
      </w:pPr>
    </w:p>
    <w:p w:rsidR="00327EFB" w:rsidRPr="00794A32" w:rsidRDefault="00327EFB" w:rsidP="00E6175F">
      <w:pPr>
        <w:pStyle w:val="ListParagraph"/>
        <w:numPr>
          <w:ilvl w:val="0"/>
          <w:numId w:val="48"/>
        </w:numPr>
        <w:spacing w:after="0"/>
        <w:jc w:val="both"/>
        <w:rPr>
          <w:rFonts w:ascii="Georgia" w:hAnsi="Georgia"/>
          <w:sz w:val="24"/>
          <w:szCs w:val="24"/>
        </w:rPr>
      </w:pPr>
      <w:r w:rsidRPr="00794A32">
        <w:rPr>
          <w:rFonts w:ascii="Georgia" w:hAnsi="Georgia"/>
          <w:sz w:val="24"/>
          <w:szCs w:val="24"/>
        </w:rPr>
        <w:t>Prohibit prior authorizations for treatment at OTPs</w:t>
      </w:r>
      <w:r w:rsidR="005616F4">
        <w:rPr>
          <w:rFonts w:ascii="Georgia" w:hAnsi="Georgia"/>
          <w:sz w:val="24"/>
          <w:szCs w:val="24"/>
        </w:rPr>
        <w:t>,</w:t>
      </w:r>
      <w:r w:rsidRPr="00794A32">
        <w:rPr>
          <w:rFonts w:ascii="Georgia" w:hAnsi="Georgia"/>
          <w:sz w:val="24"/>
          <w:szCs w:val="24"/>
        </w:rPr>
        <w:t xml:space="preserve"> </w:t>
      </w:r>
      <w:r w:rsidRPr="00794A32">
        <w:rPr>
          <w:rFonts w:ascii="Georgia" w:eastAsia="Times New Roman" w:hAnsi="Georgia"/>
          <w:sz w:val="24"/>
          <w:szCs w:val="24"/>
        </w:rPr>
        <w:t xml:space="preserve">treatment for outpatient SUD, and </w:t>
      </w:r>
      <w:r w:rsidRPr="00794A32">
        <w:rPr>
          <w:rFonts w:ascii="Georgia" w:hAnsi="Georgia"/>
          <w:sz w:val="24"/>
          <w:szCs w:val="24"/>
        </w:rPr>
        <w:t>the dispensing or prescribing of federally approved MAT drugs</w:t>
      </w:r>
      <w:r w:rsidR="005616F4">
        <w:rPr>
          <w:rFonts w:ascii="Georgia" w:hAnsi="Georgia"/>
          <w:sz w:val="24"/>
          <w:szCs w:val="24"/>
        </w:rPr>
        <w:t xml:space="preserve"> </w:t>
      </w:r>
      <w:r w:rsidR="005616F4" w:rsidRPr="00794A32">
        <w:rPr>
          <w:rFonts w:ascii="Georgia" w:eastAsia="Times New Roman" w:hAnsi="Georgia"/>
          <w:sz w:val="24"/>
          <w:szCs w:val="24"/>
        </w:rPr>
        <w:t>(S.6674/A.7979-A)</w:t>
      </w:r>
      <w:r w:rsidRPr="00794A32">
        <w:rPr>
          <w:rFonts w:ascii="Georgia" w:hAnsi="Georgia"/>
          <w:sz w:val="24"/>
          <w:szCs w:val="24"/>
        </w:rPr>
        <w:t xml:space="preserve">. </w:t>
      </w:r>
    </w:p>
    <w:p w:rsidR="005517A9" w:rsidRPr="00794A32" w:rsidRDefault="005517A9" w:rsidP="00E6175F">
      <w:pPr>
        <w:pStyle w:val="ListParagraph"/>
        <w:spacing w:after="0"/>
        <w:jc w:val="both"/>
        <w:rPr>
          <w:rFonts w:ascii="Georgia" w:hAnsi="Georgia"/>
          <w:sz w:val="24"/>
          <w:szCs w:val="24"/>
        </w:rPr>
      </w:pPr>
      <w:r w:rsidRPr="00794A32">
        <w:rPr>
          <w:rFonts w:ascii="Georgia" w:hAnsi="Georgia"/>
          <w:sz w:val="24"/>
          <w:szCs w:val="24"/>
        </w:rPr>
        <w:t> </w:t>
      </w:r>
    </w:p>
    <w:p w:rsidR="005517A9" w:rsidRPr="00794A32" w:rsidRDefault="005517A9" w:rsidP="00E6175F">
      <w:pPr>
        <w:pStyle w:val="ListParagraph"/>
        <w:numPr>
          <w:ilvl w:val="0"/>
          <w:numId w:val="48"/>
        </w:numPr>
        <w:spacing w:after="0"/>
        <w:jc w:val="both"/>
        <w:rPr>
          <w:rFonts w:ascii="Georgia" w:hAnsi="Georgia"/>
          <w:sz w:val="24"/>
          <w:szCs w:val="24"/>
        </w:rPr>
      </w:pPr>
      <w:r w:rsidRPr="00794A32">
        <w:rPr>
          <w:rFonts w:ascii="Georgia" w:hAnsi="Georgia"/>
          <w:sz w:val="24"/>
          <w:szCs w:val="24"/>
        </w:rPr>
        <w:t>Mandate coverage for all services at OTPs, which include counseling, physical examin</w:t>
      </w:r>
      <w:r w:rsidR="004E4B82">
        <w:rPr>
          <w:rFonts w:ascii="Georgia" w:hAnsi="Georgia"/>
          <w:sz w:val="24"/>
          <w:szCs w:val="24"/>
        </w:rPr>
        <w:t>ation</w:t>
      </w:r>
      <w:r w:rsidRPr="00794A32">
        <w:rPr>
          <w:rFonts w:ascii="Georgia" w:hAnsi="Georgia"/>
          <w:sz w:val="24"/>
          <w:szCs w:val="24"/>
        </w:rPr>
        <w:t>s,</w:t>
      </w:r>
      <w:r w:rsidR="004E4B82">
        <w:rPr>
          <w:rFonts w:ascii="Georgia" w:hAnsi="Georgia"/>
          <w:sz w:val="24"/>
          <w:szCs w:val="24"/>
        </w:rPr>
        <w:t xml:space="preserve"> peer recovery services, care coordination,</w:t>
      </w:r>
      <w:r w:rsidRPr="00794A32">
        <w:rPr>
          <w:rFonts w:ascii="Georgia" w:hAnsi="Georgia"/>
          <w:sz w:val="24"/>
          <w:szCs w:val="24"/>
        </w:rPr>
        <w:t xml:space="preserve"> and the dispensing or prescribing of all three federally approved </w:t>
      </w:r>
      <w:r w:rsidR="004E4B82">
        <w:rPr>
          <w:rFonts w:ascii="Georgia" w:hAnsi="Georgia"/>
          <w:sz w:val="24"/>
          <w:szCs w:val="24"/>
        </w:rPr>
        <w:t>medications for the treatment of opioid use disorde</w:t>
      </w:r>
      <w:r w:rsidR="00C140F3">
        <w:rPr>
          <w:rFonts w:ascii="Georgia" w:hAnsi="Georgia"/>
          <w:sz w:val="24"/>
          <w:szCs w:val="24"/>
        </w:rPr>
        <w:t>r</w:t>
      </w:r>
      <w:r w:rsidRPr="00794A32">
        <w:rPr>
          <w:rFonts w:ascii="Georgia" w:hAnsi="Georgia"/>
          <w:sz w:val="24"/>
          <w:szCs w:val="24"/>
        </w:rPr>
        <w:t>.</w:t>
      </w:r>
    </w:p>
    <w:p w:rsidR="005517A9" w:rsidRPr="00794A32" w:rsidRDefault="005517A9" w:rsidP="00E6175F">
      <w:pPr>
        <w:pStyle w:val="ListParagraph"/>
        <w:spacing w:after="0"/>
        <w:jc w:val="both"/>
        <w:rPr>
          <w:rFonts w:ascii="Georgia" w:hAnsi="Georgia"/>
          <w:sz w:val="24"/>
          <w:szCs w:val="24"/>
        </w:rPr>
      </w:pPr>
    </w:p>
    <w:p w:rsidR="005517A9" w:rsidRPr="00794A32" w:rsidRDefault="005517A9" w:rsidP="00E6175F">
      <w:pPr>
        <w:pStyle w:val="ListParagraph"/>
        <w:spacing w:after="0"/>
        <w:jc w:val="both"/>
        <w:rPr>
          <w:rFonts w:ascii="Georgia" w:hAnsi="Georgia"/>
          <w:color w:val="FF0000"/>
          <w:sz w:val="24"/>
          <w:szCs w:val="24"/>
        </w:rPr>
      </w:pPr>
    </w:p>
    <w:p w:rsidR="00F319C6" w:rsidRDefault="00F319C6" w:rsidP="00E6175F">
      <w:pPr>
        <w:spacing w:after="0"/>
        <w:jc w:val="both"/>
        <w:rPr>
          <w:rFonts w:ascii="Georgia" w:hAnsi="Georgia" w:cs="Arial"/>
          <w:color w:val="000000" w:themeColor="text1"/>
          <w:sz w:val="24"/>
          <w:szCs w:val="24"/>
        </w:rPr>
      </w:pPr>
      <w:r w:rsidRPr="00794A32">
        <w:rPr>
          <w:rFonts w:ascii="Georgia" w:hAnsi="Georgia" w:cs="Arial"/>
          <w:color w:val="000000" w:themeColor="text1"/>
          <w:sz w:val="24"/>
          <w:szCs w:val="24"/>
        </w:rPr>
        <w:t xml:space="preserve"> </w:t>
      </w:r>
    </w:p>
    <w:p w:rsidR="00F319C6" w:rsidRDefault="00F319C6" w:rsidP="00E6175F">
      <w:pPr>
        <w:spacing w:after="0"/>
        <w:jc w:val="both"/>
        <w:rPr>
          <w:rFonts w:ascii="Georgia" w:hAnsi="Georgia" w:cs="Arial"/>
          <w:color w:val="000000" w:themeColor="text1"/>
          <w:sz w:val="24"/>
          <w:szCs w:val="24"/>
        </w:rPr>
      </w:pPr>
    </w:p>
    <w:p w:rsidR="003117DB" w:rsidRDefault="003117DB" w:rsidP="00E6175F">
      <w:pPr>
        <w:spacing w:after="0"/>
        <w:jc w:val="both"/>
        <w:rPr>
          <w:rFonts w:ascii="Georgia" w:hAnsi="Georgia" w:cs="Arial"/>
          <w:color w:val="000000" w:themeColor="text1"/>
          <w:sz w:val="24"/>
          <w:szCs w:val="24"/>
        </w:rPr>
      </w:pPr>
    </w:p>
    <w:p w:rsidR="003117DB" w:rsidRDefault="003117DB" w:rsidP="00E6175F">
      <w:pPr>
        <w:spacing w:after="0"/>
        <w:jc w:val="both"/>
        <w:rPr>
          <w:color w:val="000000"/>
          <w:shd w:val="clear" w:color="auto" w:fill="FFFFFF"/>
        </w:rPr>
      </w:pPr>
      <w:r>
        <w:rPr>
          <w:color w:val="000000"/>
          <w:shd w:val="clear" w:color="auto" w:fill="FFFFFF"/>
        </w:rPr>
        <w:t xml:space="preserve">US CDC/National Center for Health Statistics. (2018, February 9). Products - vital statistics rapid release - provisional drug overdose data. Retrieved from </w:t>
      </w:r>
      <w:hyperlink r:id="rId8" w:history="1">
        <w:r w:rsidR="00E6175F" w:rsidRPr="00D23AC7">
          <w:rPr>
            <w:rStyle w:val="Hyperlink"/>
            <w:shd w:val="clear" w:color="auto" w:fill="FFFFFF"/>
          </w:rPr>
          <w:t>https://www.cdc.gov/nchs/nvss/vsrr/drug-overdose-data.htm</w:t>
        </w:r>
      </w:hyperlink>
    </w:p>
    <w:p w:rsidR="00E6175F" w:rsidRPr="00794A32" w:rsidRDefault="00E6175F" w:rsidP="00E6175F">
      <w:pPr>
        <w:spacing w:after="0"/>
        <w:jc w:val="both"/>
        <w:rPr>
          <w:rFonts w:ascii="Georgia" w:hAnsi="Georgia" w:cs="Arial"/>
          <w:color w:val="000000" w:themeColor="text1"/>
          <w:sz w:val="24"/>
          <w:szCs w:val="24"/>
        </w:rPr>
      </w:pPr>
    </w:p>
    <w:sectPr w:rsidR="00E6175F" w:rsidRPr="00794A32" w:rsidSect="00F66DA1">
      <w:footerReference w:type="even" r:id="rId9"/>
      <w:footerReference w:type="default" r:id="rId1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085" w:rsidRDefault="00E23085" w:rsidP="00EC2137">
      <w:pPr>
        <w:spacing w:after="0" w:line="240" w:lineRule="auto"/>
      </w:pPr>
      <w:r>
        <w:separator/>
      </w:r>
    </w:p>
  </w:endnote>
  <w:endnote w:type="continuationSeparator" w:id="0">
    <w:p w:rsidR="00E23085" w:rsidRDefault="00E23085" w:rsidP="00EC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EFB" w:rsidRDefault="00327EFB" w:rsidP="00F66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7EFB" w:rsidRDefault="00327EFB" w:rsidP="00EC21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EFB" w:rsidRDefault="00327EFB" w:rsidP="00513D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81B">
      <w:rPr>
        <w:rStyle w:val="PageNumber"/>
        <w:noProof/>
      </w:rPr>
      <w:t>3</w:t>
    </w:r>
    <w:r>
      <w:rPr>
        <w:rStyle w:val="PageNumber"/>
      </w:rPr>
      <w:fldChar w:fldCharType="end"/>
    </w:r>
  </w:p>
  <w:p w:rsidR="00327EFB" w:rsidRDefault="00327EFB" w:rsidP="00EC21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085" w:rsidRDefault="00E23085" w:rsidP="00EC2137">
      <w:pPr>
        <w:spacing w:after="0" w:line="240" w:lineRule="auto"/>
      </w:pPr>
      <w:r>
        <w:separator/>
      </w:r>
    </w:p>
  </w:footnote>
  <w:footnote w:type="continuationSeparator" w:id="0">
    <w:p w:rsidR="00E23085" w:rsidRDefault="00E23085" w:rsidP="00EC2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6EBF"/>
    <w:multiLevelType w:val="hybridMultilevel"/>
    <w:tmpl w:val="6EAE918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E35FB"/>
    <w:multiLevelType w:val="hybridMultilevel"/>
    <w:tmpl w:val="459C04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17352C"/>
    <w:multiLevelType w:val="hybridMultilevel"/>
    <w:tmpl w:val="BE8C90F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A35F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993CB1"/>
    <w:multiLevelType w:val="hybridMultilevel"/>
    <w:tmpl w:val="A4223D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6CEF"/>
    <w:multiLevelType w:val="hybridMultilevel"/>
    <w:tmpl w:val="BF9EC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76FED"/>
    <w:multiLevelType w:val="hybridMultilevel"/>
    <w:tmpl w:val="5FFA74A0"/>
    <w:lvl w:ilvl="0" w:tplc="04090019">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D2BF6"/>
    <w:multiLevelType w:val="hybridMultilevel"/>
    <w:tmpl w:val="7232748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9812332"/>
    <w:multiLevelType w:val="hybridMultilevel"/>
    <w:tmpl w:val="8A6C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760D5"/>
    <w:multiLevelType w:val="hybridMultilevel"/>
    <w:tmpl w:val="0BB465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4B42DA"/>
    <w:multiLevelType w:val="hybridMultilevel"/>
    <w:tmpl w:val="D4CEA1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B15686"/>
    <w:multiLevelType w:val="hybridMultilevel"/>
    <w:tmpl w:val="B46E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379F"/>
    <w:multiLevelType w:val="hybridMultilevel"/>
    <w:tmpl w:val="3F2E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A41A5"/>
    <w:multiLevelType w:val="hybridMultilevel"/>
    <w:tmpl w:val="261088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A8125B"/>
    <w:multiLevelType w:val="multilevel"/>
    <w:tmpl w:val="A868317C"/>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251C4E0E"/>
    <w:multiLevelType w:val="hybridMultilevel"/>
    <w:tmpl w:val="D096CA1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4060BD"/>
    <w:multiLevelType w:val="hybridMultilevel"/>
    <w:tmpl w:val="9738C9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818D5"/>
    <w:multiLevelType w:val="hybridMultilevel"/>
    <w:tmpl w:val="D764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660C9"/>
    <w:multiLevelType w:val="hybridMultilevel"/>
    <w:tmpl w:val="0DAE3E7A"/>
    <w:lvl w:ilvl="0" w:tplc="7C54271E">
      <w:numFmt w:val="bullet"/>
      <w:lvlText w:val="-"/>
      <w:lvlJc w:val="left"/>
      <w:pPr>
        <w:ind w:left="1035" w:hanging="67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A6FDB"/>
    <w:multiLevelType w:val="hybridMultilevel"/>
    <w:tmpl w:val="F29E4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8F38CF"/>
    <w:multiLevelType w:val="multilevel"/>
    <w:tmpl w:val="0A1E9458"/>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580B0C"/>
    <w:multiLevelType w:val="hybridMultilevel"/>
    <w:tmpl w:val="485EB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85A9C"/>
    <w:multiLevelType w:val="multilevel"/>
    <w:tmpl w:val="8938C05E"/>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D23245"/>
    <w:multiLevelType w:val="hybridMultilevel"/>
    <w:tmpl w:val="650AA19A"/>
    <w:lvl w:ilvl="0" w:tplc="093ED0DA">
      <w:start w:val="5"/>
      <w:numFmt w:val="decimal"/>
      <w:lvlText w:val="%1."/>
      <w:lvlJc w:val="left"/>
      <w:pPr>
        <w:ind w:left="28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E0C23C7"/>
    <w:multiLevelType w:val="hybridMultilevel"/>
    <w:tmpl w:val="3BFE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F3B77"/>
    <w:multiLevelType w:val="hybridMultilevel"/>
    <w:tmpl w:val="F8A8DB84"/>
    <w:lvl w:ilvl="0" w:tplc="093ED0DA">
      <w:start w:val="5"/>
      <w:numFmt w:val="decimal"/>
      <w:lvlText w:val="%1."/>
      <w:lvlJc w:val="left"/>
      <w:pPr>
        <w:ind w:left="28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2CB3216"/>
    <w:multiLevelType w:val="hybridMultilevel"/>
    <w:tmpl w:val="71E620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45512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F707A6"/>
    <w:multiLevelType w:val="hybridMultilevel"/>
    <w:tmpl w:val="196216E6"/>
    <w:lvl w:ilvl="0" w:tplc="093ED0DA">
      <w:start w:val="5"/>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BA7880"/>
    <w:multiLevelType w:val="hybridMultilevel"/>
    <w:tmpl w:val="6DF23A1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B3E33"/>
    <w:multiLevelType w:val="hybridMultilevel"/>
    <w:tmpl w:val="DE1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F78C4"/>
    <w:multiLevelType w:val="hybridMultilevel"/>
    <w:tmpl w:val="A9EEA6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29409E"/>
    <w:multiLevelType w:val="hybridMultilevel"/>
    <w:tmpl w:val="754689AA"/>
    <w:lvl w:ilvl="0" w:tplc="093ED0DA">
      <w:start w:val="5"/>
      <w:numFmt w:val="decimal"/>
      <w:lvlText w:val="%1."/>
      <w:lvlJc w:val="left"/>
      <w:pPr>
        <w:ind w:left="28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654D87"/>
    <w:multiLevelType w:val="hybridMultilevel"/>
    <w:tmpl w:val="D9507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4719D3"/>
    <w:multiLevelType w:val="multilevel"/>
    <w:tmpl w:val="6B4CD612"/>
    <w:lvl w:ilvl="0">
      <w:start w:val="5"/>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8295CDA"/>
    <w:multiLevelType w:val="hybridMultilevel"/>
    <w:tmpl w:val="AE52F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EE0EE9"/>
    <w:multiLevelType w:val="hybridMultilevel"/>
    <w:tmpl w:val="4E708200"/>
    <w:lvl w:ilvl="0" w:tplc="A23414B4">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1348F"/>
    <w:multiLevelType w:val="multilevel"/>
    <w:tmpl w:val="7F58E4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9532F7"/>
    <w:multiLevelType w:val="hybridMultilevel"/>
    <w:tmpl w:val="D8A01B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AA4BCF"/>
    <w:multiLevelType w:val="hybridMultilevel"/>
    <w:tmpl w:val="24FE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8D1B51"/>
    <w:multiLevelType w:val="hybridMultilevel"/>
    <w:tmpl w:val="3CCAA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B80B4F"/>
    <w:multiLevelType w:val="hybridMultilevel"/>
    <w:tmpl w:val="0CDC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892028"/>
    <w:multiLevelType w:val="hybridMultilevel"/>
    <w:tmpl w:val="A6A492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BB5B3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2BA22BE"/>
    <w:multiLevelType w:val="hybridMultilevel"/>
    <w:tmpl w:val="135ABF9E"/>
    <w:lvl w:ilvl="0" w:tplc="093ED0DA">
      <w:start w:val="5"/>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6A7025"/>
    <w:multiLevelType w:val="hybridMultilevel"/>
    <w:tmpl w:val="1F06AC26"/>
    <w:lvl w:ilvl="0" w:tplc="8F4E1A3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2275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1"/>
  </w:num>
  <w:num w:numId="3">
    <w:abstractNumId w:val="3"/>
  </w:num>
  <w:num w:numId="4">
    <w:abstractNumId w:val="30"/>
  </w:num>
  <w:num w:numId="5">
    <w:abstractNumId w:val="39"/>
  </w:num>
  <w:num w:numId="6">
    <w:abstractNumId w:val="13"/>
  </w:num>
  <w:num w:numId="7">
    <w:abstractNumId w:val="29"/>
  </w:num>
  <w:num w:numId="8">
    <w:abstractNumId w:val="0"/>
  </w:num>
  <w:num w:numId="9">
    <w:abstractNumId w:val="4"/>
  </w:num>
  <w:num w:numId="10">
    <w:abstractNumId w:val="42"/>
  </w:num>
  <w:num w:numId="11">
    <w:abstractNumId w:val="2"/>
  </w:num>
  <w:num w:numId="12">
    <w:abstractNumId w:val="15"/>
  </w:num>
  <w:num w:numId="13">
    <w:abstractNumId w:val="10"/>
  </w:num>
  <w:num w:numId="14">
    <w:abstractNumId w:val="35"/>
  </w:num>
  <w:num w:numId="15">
    <w:abstractNumId w:val="26"/>
  </w:num>
  <w:num w:numId="16">
    <w:abstractNumId w:val="1"/>
  </w:num>
  <w:num w:numId="17">
    <w:abstractNumId w:val="9"/>
  </w:num>
  <w:num w:numId="18">
    <w:abstractNumId w:val="44"/>
  </w:num>
  <w:num w:numId="19">
    <w:abstractNumId w:val="32"/>
  </w:num>
  <w:num w:numId="20">
    <w:abstractNumId w:val="25"/>
  </w:num>
  <w:num w:numId="21">
    <w:abstractNumId w:val="23"/>
  </w:num>
  <w:num w:numId="22">
    <w:abstractNumId w:val="28"/>
  </w:num>
  <w:num w:numId="23">
    <w:abstractNumId w:val="34"/>
  </w:num>
  <w:num w:numId="24">
    <w:abstractNumId w:val="37"/>
  </w:num>
  <w:num w:numId="25">
    <w:abstractNumId w:val="14"/>
  </w:num>
  <w:num w:numId="26">
    <w:abstractNumId w:val="43"/>
  </w:num>
  <w:num w:numId="27">
    <w:abstractNumId w:val="20"/>
  </w:num>
  <w:num w:numId="28">
    <w:abstractNumId w:val="46"/>
  </w:num>
  <w:num w:numId="29">
    <w:abstractNumId w:val="31"/>
  </w:num>
  <w:num w:numId="30">
    <w:abstractNumId w:val="36"/>
  </w:num>
  <w:num w:numId="31">
    <w:abstractNumId w:val="22"/>
  </w:num>
  <w:num w:numId="32">
    <w:abstractNumId w:val="38"/>
  </w:num>
  <w:num w:numId="33">
    <w:abstractNumId w:val="27"/>
  </w:num>
  <w:num w:numId="34">
    <w:abstractNumId w:val="33"/>
  </w:num>
  <w:num w:numId="35">
    <w:abstractNumId w:val="41"/>
  </w:num>
  <w:num w:numId="36">
    <w:abstractNumId w:val="45"/>
  </w:num>
  <w:num w:numId="37">
    <w:abstractNumId w:val="8"/>
  </w:num>
  <w:num w:numId="38">
    <w:abstractNumId w:val="18"/>
  </w:num>
  <w:num w:numId="39">
    <w:abstractNumId w:val="40"/>
  </w:num>
  <w:num w:numId="40">
    <w:abstractNumId w:val="5"/>
  </w:num>
  <w:num w:numId="41">
    <w:abstractNumId w:val="16"/>
  </w:num>
  <w:num w:numId="42">
    <w:abstractNumId w:val="17"/>
  </w:num>
  <w:num w:numId="43">
    <w:abstractNumId w:val="19"/>
  </w:num>
  <w:num w:numId="44">
    <w:abstractNumId w:val="11"/>
  </w:num>
  <w:num w:numId="45">
    <w:abstractNumId w:val="24"/>
  </w:num>
  <w:num w:numId="46">
    <w:abstractNumId w:val="6"/>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32"/>
    <w:rsid w:val="000035C3"/>
    <w:rsid w:val="0002727A"/>
    <w:rsid w:val="0003178B"/>
    <w:rsid w:val="0003200A"/>
    <w:rsid w:val="000367ED"/>
    <w:rsid w:val="00054654"/>
    <w:rsid w:val="000561BC"/>
    <w:rsid w:val="00062D5B"/>
    <w:rsid w:val="000674FD"/>
    <w:rsid w:val="0007083F"/>
    <w:rsid w:val="00074816"/>
    <w:rsid w:val="00082C7B"/>
    <w:rsid w:val="0008654A"/>
    <w:rsid w:val="00090653"/>
    <w:rsid w:val="000946C9"/>
    <w:rsid w:val="0009690F"/>
    <w:rsid w:val="000A0BA1"/>
    <w:rsid w:val="000B7785"/>
    <w:rsid w:val="000C7777"/>
    <w:rsid w:val="000E481E"/>
    <w:rsid w:val="000F3EA5"/>
    <w:rsid w:val="001035A6"/>
    <w:rsid w:val="00103BC3"/>
    <w:rsid w:val="00106573"/>
    <w:rsid w:val="00107742"/>
    <w:rsid w:val="00110EBA"/>
    <w:rsid w:val="001118E9"/>
    <w:rsid w:val="00130F37"/>
    <w:rsid w:val="00135309"/>
    <w:rsid w:val="00140DEB"/>
    <w:rsid w:val="001461C7"/>
    <w:rsid w:val="00157A5E"/>
    <w:rsid w:val="00162291"/>
    <w:rsid w:val="0016384D"/>
    <w:rsid w:val="00163DB1"/>
    <w:rsid w:val="00182892"/>
    <w:rsid w:val="0019089E"/>
    <w:rsid w:val="001A19AC"/>
    <w:rsid w:val="001A45C7"/>
    <w:rsid w:val="001C4C3E"/>
    <w:rsid w:val="001C79A5"/>
    <w:rsid w:val="002077E9"/>
    <w:rsid w:val="002158BE"/>
    <w:rsid w:val="00237284"/>
    <w:rsid w:val="0024135D"/>
    <w:rsid w:val="00277BBC"/>
    <w:rsid w:val="002847AA"/>
    <w:rsid w:val="00287D80"/>
    <w:rsid w:val="00295C0B"/>
    <w:rsid w:val="002A4D2C"/>
    <w:rsid w:val="002C48A3"/>
    <w:rsid w:val="002D17A1"/>
    <w:rsid w:val="002D1C8B"/>
    <w:rsid w:val="002D5E38"/>
    <w:rsid w:val="002E4696"/>
    <w:rsid w:val="002F53FA"/>
    <w:rsid w:val="00304B73"/>
    <w:rsid w:val="003117DB"/>
    <w:rsid w:val="0032036E"/>
    <w:rsid w:val="00327EFB"/>
    <w:rsid w:val="0033508A"/>
    <w:rsid w:val="0033519C"/>
    <w:rsid w:val="003412A1"/>
    <w:rsid w:val="0034414E"/>
    <w:rsid w:val="00345028"/>
    <w:rsid w:val="003470FE"/>
    <w:rsid w:val="003478C7"/>
    <w:rsid w:val="00352B36"/>
    <w:rsid w:val="00354064"/>
    <w:rsid w:val="003611DA"/>
    <w:rsid w:val="00391FD4"/>
    <w:rsid w:val="003C047F"/>
    <w:rsid w:val="003C244D"/>
    <w:rsid w:val="003D09D4"/>
    <w:rsid w:val="003D60E7"/>
    <w:rsid w:val="003F7C32"/>
    <w:rsid w:val="00406154"/>
    <w:rsid w:val="00414098"/>
    <w:rsid w:val="00414556"/>
    <w:rsid w:val="0046026F"/>
    <w:rsid w:val="004677DD"/>
    <w:rsid w:val="00480DAF"/>
    <w:rsid w:val="00486F84"/>
    <w:rsid w:val="004A0E21"/>
    <w:rsid w:val="004A1C88"/>
    <w:rsid w:val="004A35E2"/>
    <w:rsid w:val="004C7080"/>
    <w:rsid w:val="004E4B82"/>
    <w:rsid w:val="004E4E80"/>
    <w:rsid w:val="00507022"/>
    <w:rsid w:val="00513D51"/>
    <w:rsid w:val="00535AE9"/>
    <w:rsid w:val="005517A9"/>
    <w:rsid w:val="005616F4"/>
    <w:rsid w:val="00570844"/>
    <w:rsid w:val="00576E21"/>
    <w:rsid w:val="00582274"/>
    <w:rsid w:val="005A57F9"/>
    <w:rsid w:val="005C3028"/>
    <w:rsid w:val="005C60AE"/>
    <w:rsid w:val="005E7C14"/>
    <w:rsid w:val="005F311C"/>
    <w:rsid w:val="00617DBB"/>
    <w:rsid w:val="00620F12"/>
    <w:rsid w:val="00626B73"/>
    <w:rsid w:val="00631424"/>
    <w:rsid w:val="00636E22"/>
    <w:rsid w:val="0064585F"/>
    <w:rsid w:val="006770AB"/>
    <w:rsid w:val="00680F20"/>
    <w:rsid w:val="006855C0"/>
    <w:rsid w:val="006A6539"/>
    <w:rsid w:val="006B3B1E"/>
    <w:rsid w:val="006B3FF8"/>
    <w:rsid w:val="006C4055"/>
    <w:rsid w:val="006C55FC"/>
    <w:rsid w:val="006C74CD"/>
    <w:rsid w:val="006D1A34"/>
    <w:rsid w:val="006D1D02"/>
    <w:rsid w:val="006E4AAC"/>
    <w:rsid w:val="006E6807"/>
    <w:rsid w:val="007076EF"/>
    <w:rsid w:val="00711BCF"/>
    <w:rsid w:val="0071778D"/>
    <w:rsid w:val="007316F1"/>
    <w:rsid w:val="007363DC"/>
    <w:rsid w:val="00753059"/>
    <w:rsid w:val="00761374"/>
    <w:rsid w:val="007641D6"/>
    <w:rsid w:val="00780D27"/>
    <w:rsid w:val="00780FC9"/>
    <w:rsid w:val="00790F3B"/>
    <w:rsid w:val="00791A83"/>
    <w:rsid w:val="00793330"/>
    <w:rsid w:val="00794A32"/>
    <w:rsid w:val="00796B00"/>
    <w:rsid w:val="007A32F6"/>
    <w:rsid w:val="007F7AFD"/>
    <w:rsid w:val="00815318"/>
    <w:rsid w:val="00822FB3"/>
    <w:rsid w:val="00826153"/>
    <w:rsid w:val="00851502"/>
    <w:rsid w:val="008573B7"/>
    <w:rsid w:val="008624A9"/>
    <w:rsid w:val="0086476F"/>
    <w:rsid w:val="0087481B"/>
    <w:rsid w:val="00885C36"/>
    <w:rsid w:val="00886C52"/>
    <w:rsid w:val="00893A87"/>
    <w:rsid w:val="00897C5E"/>
    <w:rsid w:val="008A19DF"/>
    <w:rsid w:val="008A6AE6"/>
    <w:rsid w:val="008B1EDF"/>
    <w:rsid w:val="008B799D"/>
    <w:rsid w:val="008C41B6"/>
    <w:rsid w:val="008E2A46"/>
    <w:rsid w:val="008F2AC9"/>
    <w:rsid w:val="008F4216"/>
    <w:rsid w:val="00901FA6"/>
    <w:rsid w:val="00916B97"/>
    <w:rsid w:val="009217C0"/>
    <w:rsid w:val="00921C42"/>
    <w:rsid w:val="00935248"/>
    <w:rsid w:val="00947FEC"/>
    <w:rsid w:val="00975ABB"/>
    <w:rsid w:val="00976B1F"/>
    <w:rsid w:val="00976F9C"/>
    <w:rsid w:val="00991A8A"/>
    <w:rsid w:val="009B7FF0"/>
    <w:rsid w:val="009F4626"/>
    <w:rsid w:val="009F51D5"/>
    <w:rsid w:val="009F54F1"/>
    <w:rsid w:val="00A014D5"/>
    <w:rsid w:val="00A226BF"/>
    <w:rsid w:val="00A306E3"/>
    <w:rsid w:val="00A33ECC"/>
    <w:rsid w:val="00A44D48"/>
    <w:rsid w:val="00A52EA2"/>
    <w:rsid w:val="00A537AF"/>
    <w:rsid w:val="00A60442"/>
    <w:rsid w:val="00A63B3F"/>
    <w:rsid w:val="00A64C40"/>
    <w:rsid w:val="00A67C3B"/>
    <w:rsid w:val="00A711F0"/>
    <w:rsid w:val="00A71348"/>
    <w:rsid w:val="00A77C83"/>
    <w:rsid w:val="00AB48FC"/>
    <w:rsid w:val="00AC3FD0"/>
    <w:rsid w:val="00AC7A42"/>
    <w:rsid w:val="00AD19AB"/>
    <w:rsid w:val="00AE030C"/>
    <w:rsid w:val="00AE1DF0"/>
    <w:rsid w:val="00AE30F0"/>
    <w:rsid w:val="00B309FA"/>
    <w:rsid w:val="00B46062"/>
    <w:rsid w:val="00B477CC"/>
    <w:rsid w:val="00B529FE"/>
    <w:rsid w:val="00B53A1D"/>
    <w:rsid w:val="00B71331"/>
    <w:rsid w:val="00B728E4"/>
    <w:rsid w:val="00B75250"/>
    <w:rsid w:val="00B909F4"/>
    <w:rsid w:val="00B91332"/>
    <w:rsid w:val="00B93679"/>
    <w:rsid w:val="00BA041F"/>
    <w:rsid w:val="00BA094F"/>
    <w:rsid w:val="00BA5907"/>
    <w:rsid w:val="00BB0643"/>
    <w:rsid w:val="00BB3146"/>
    <w:rsid w:val="00BE3616"/>
    <w:rsid w:val="00BF194B"/>
    <w:rsid w:val="00BF2B22"/>
    <w:rsid w:val="00BF32D1"/>
    <w:rsid w:val="00BF7257"/>
    <w:rsid w:val="00C01F47"/>
    <w:rsid w:val="00C11D72"/>
    <w:rsid w:val="00C140F3"/>
    <w:rsid w:val="00C31BA2"/>
    <w:rsid w:val="00C323D4"/>
    <w:rsid w:val="00C338A8"/>
    <w:rsid w:val="00C3640F"/>
    <w:rsid w:val="00C522AD"/>
    <w:rsid w:val="00C555A4"/>
    <w:rsid w:val="00C762E6"/>
    <w:rsid w:val="00C82316"/>
    <w:rsid w:val="00C91E83"/>
    <w:rsid w:val="00C96161"/>
    <w:rsid w:val="00C96494"/>
    <w:rsid w:val="00CA47A4"/>
    <w:rsid w:val="00CA4B11"/>
    <w:rsid w:val="00CB220D"/>
    <w:rsid w:val="00CB38BE"/>
    <w:rsid w:val="00CB4EA0"/>
    <w:rsid w:val="00CB6481"/>
    <w:rsid w:val="00CC1BB7"/>
    <w:rsid w:val="00CC42AA"/>
    <w:rsid w:val="00CE3E6D"/>
    <w:rsid w:val="00CF5D38"/>
    <w:rsid w:val="00D00667"/>
    <w:rsid w:val="00D02D5E"/>
    <w:rsid w:val="00D074D5"/>
    <w:rsid w:val="00D14EB5"/>
    <w:rsid w:val="00D60EC3"/>
    <w:rsid w:val="00D72216"/>
    <w:rsid w:val="00D77523"/>
    <w:rsid w:val="00D81577"/>
    <w:rsid w:val="00D856EC"/>
    <w:rsid w:val="00DA1A15"/>
    <w:rsid w:val="00DB46DF"/>
    <w:rsid w:val="00DB5CC1"/>
    <w:rsid w:val="00DB7044"/>
    <w:rsid w:val="00DC38EF"/>
    <w:rsid w:val="00DD2DC6"/>
    <w:rsid w:val="00DF5E97"/>
    <w:rsid w:val="00E23085"/>
    <w:rsid w:val="00E2658C"/>
    <w:rsid w:val="00E47C10"/>
    <w:rsid w:val="00E5039D"/>
    <w:rsid w:val="00E51A00"/>
    <w:rsid w:val="00E6175F"/>
    <w:rsid w:val="00E804BA"/>
    <w:rsid w:val="00E8659F"/>
    <w:rsid w:val="00EA384B"/>
    <w:rsid w:val="00EA65C2"/>
    <w:rsid w:val="00EB1CEE"/>
    <w:rsid w:val="00EC2137"/>
    <w:rsid w:val="00ED19E8"/>
    <w:rsid w:val="00EE01DA"/>
    <w:rsid w:val="00EE3F63"/>
    <w:rsid w:val="00F0512B"/>
    <w:rsid w:val="00F17AFC"/>
    <w:rsid w:val="00F319C6"/>
    <w:rsid w:val="00F34B1F"/>
    <w:rsid w:val="00F4135F"/>
    <w:rsid w:val="00F43385"/>
    <w:rsid w:val="00F52AC0"/>
    <w:rsid w:val="00F66DA1"/>
    <w:rsid w:val="00F671E0"/>
    <w:rsid w:val="00F94967"/>
    <w:rsid w:val="00F94C73"/>
    <w:rsid w:val="00F96A68"/>
    <w:rsid w:val="00FA2CB0"/>
    <w:rsid w:val="00FB0B12"/>
    <w:rsid w:val="00FB2F3E"/>
    <w:rsid w:val="00FD1EA8"/>
    <w:rsid w:val="00FD2E98"/>
    <w:rsid w:val="00FD6F94"/>
    <w:rsid w:val="00FE35D0"/>
    <w:rsid w:val="00FF5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A370B1B-2D82-4B35-AE3F-DC1A52F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6B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17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B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332"/>
    <w:rPr>
      <w:color w:val="0563C1" w:themeColor="hyperlink"/>
      <w:u w:val="single"/>
    </w:rPr>
  </w:style>
  <w:style w:type="paragraph" w:styleId="BalloonText">
    <w:name w:val="Balloon Text"/>
    <w:basedOn w:val="Normal"/>
    <w:link w:val="BalloonTextChar"/>
    <w:uiPriority w:val="99"/>
    <w:semiHidden/>
    <w:unhideWhenUsed/>
    <w:rsid w:val="00FB2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3E"/>
    <w:rPr>
      <w:rFonts w:ascii="Segoe UI" w:hAnsi="Segoe UI" w:cs="Segoe UI"/>
      <w:sz w:val="18"/>
      <w:szCs w:val="18"/>
    </w:rPr>
  </w:style>
  <w:style w:type="paragraph" w:styleId="ListParagraph">
    <w:name w:val="List Paragraph"/>
    <w:basedOn w:val="Normal"/>
    <w:uiPriority w:val="34"/>
    <w:qFormat/>
    <w:rsid w:val="006C74CD"/>
    <w:pPr>
      <w:ind w:left="720"/>
      <w:contextualSpacing/>
    </w:pPr>
  </w:style>
  <w:style w:type="paragraph" w:styleId="Footer">
    <w:name w:val="footer"/>
    <w:basedOn w:val="Normal"/>
    <w:link w:val="FooterChar"/>
    <w:uiPriority w:val="99"/>
    <w:unhideWhenUsed/>
    <w:rsid w:val="00EC21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2137"/>
  </w:style>
  <w:style w:type="character" w:styleId="PageNumber">
    <w:name w:val="page number"/>
    <w:basedOn w:val="DefaultParagraphFont"/>
    <w:uiPriority w:val="99"/>
    <w:semiHidden/>
    <w:unhideWhenUsed/>
    <w:rsid w:val="00EC2137"/>
  </w:style>
  <w:style w:type="paragraph" w:styleId="Header">
    <w:name w:val="header"/>
    <w:basedOn w:val="Normal"/>
    <w:link w:val="HeaderChar"/>
    <w:uiPriority w:val="99"/>
    <w:unhideWhenUsed/>
    <w:rsid w:val="00F66D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6DA1"/>
  </w:style>
  <w:style w:type="character" w:customStyle="1" w:styleId="Heading1Char">
    <w:name w:val="Heading 1 Char"/>
    <w:basedOn w:val="DefaultParagraphFont"/>
    <w:link w:val="Heading1"/>
    <w:uiPriority w:val="9"/>
    <w:rsid w:val="00626B7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26B73"/>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626B73"/>
  </w:style>
  <w:style w:type="paragraph" w:styleId="HTMLPreformatted">
    <w:name w:val="HTML Preformatted"/>
    <w:basedOn w:val="Normal"/>
    <w:link w:val="HTMLPreformattedChar"/>
    <w:uiPriority w:val="99"/>
    <w:unhideWhenUsed/>
    <w:rsid w:val="00F94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4967"/>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C31BA2"/>
    <w:rPr>
      <w:sz w:val="16"/>
      <w:szCs w:val="16"/>
    </w:rPr>
  </w:style>
  <w:style w:type="paragraph" w:styleId="CommentText">
    <w:name w:val="annotation text"/>
    <w:basedOn w:val="Normal"/>
    <w:link w:val="CommentTextChar"/>
    <w:uiPriority w:val="99"/>
    <w:semiHidden/>
    <w:unhideWhenUsed/>
    <w:rsid w:val="00C31BA2"/>
    <w:pPr>
      <w:spacing w:line="240" w:lineRule="auto"/>
    </w:pPr>
    <w:rPr>
      <w:sz w:val="20"/>
      <w:szCs w:val="20"/>
    </w:rPr>
  </w:style>
  <w:style w:type="character" w:customStyle="1" w:styleId="CommentTextChar">
    <w:name w:val="Comment Text Char"/>
    <w:basedOn w:val="DefaultParagraphFont"/>
    <w:link w:val="CommentText"/>
    <w:uiPriority w:val="99"/>
    <w:semiHidden/>
    <w:rsid w:val="00C31BA2"/>
    <w:rPr>
      <w:sz w:val="20"/>
      <w:szCs w:val="20"/>
    </w:rPr>
  </w:style>
  <w:style w:type="paragraph" w:styleId="CommentSubject">
    <w:name w:val="annotation subject"/>
    <w:basedOn w:val="CommentText"/>
    <w:next w:val="CommentText"/>
    <w:link w:val="CommentSubjectChar"/>
    <w:uiPriority w:val="99"/>
    <w:semiHidden/>
    <w:unhideWhenUsed/>
    <w:rsid w:val="00C31BA2"/>
    <w:rPr>
      <w:b/>
      <w:bCs/>
    </w:rPr>
  </w:style>
  <w:style w:type="character" w:customStyle="1" w:styleId="CommentSubjectChar">
    <w:name w:val="Comment Subject Char"/>
    <w:basedOn w:val="CommentTextChar"/>
    <w:link w:val="CommentSubject"/>
    <w:uiPriority w:val="99"/>
    <w:semiHidden/>
    <w:rsid w:val="00C31BA2"/>
    <w:rPr>
      <w:b/>
      <w:bCs/>
      <w:sz w:val="20"/>
      <w:szCs w:val="20"/>
    </w:rPr>
  </w:style>
  <w:style w:type="paragraph" w:styleId="NoSpacing">
    <w:name w:val="No Spacing"/>
    <w:uiPriority w:val="1"/>
    <w:qFormat/>
    <w:rsid w:val="00C31BA2"/>
    <w:pPr>
      <w:spacing w:after="0" w:line="240" w:lineRule="auto"/>
    </w:pPr>
  </w:style>
  <w:style w:type="paragraph" w:styleId="Revision">
    <w:name w:val="Revision"/>
    <w:hidden/>
    <w:uiPriority w:val="99"/>
    <w:semiHidden/>
    <w:rsid w:val="00F96A68"/>
    <w:pPr>
      <w:spacing w:after="0" w:line="240" w:lineRule="auto"/>
    </w:pPr>
  </w:style>
  <w:style w:type="character" w:customStyle="1" w:styleId="Heading2Char">
    <w:name w:val="Heading 2 Char"/>
    <w:basedOn w:val="DefaultParagraphFont"/>
    <w:link w:val="Heading2"/>
    <w:uiPriority w:val="9"/>
    <w:semiHidden/>
    <w:rsid w:val="003117DB"/>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E617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125">
      <w:bodyDiv w:val="1"/>
      <w:marLeft w:val="0"/>
      <w:marRight w:val="0"/>
      <w:marTop w:val="0"/>
      <w:marBottom w:val="0"/>
      <w:divBdr>
        <w:top w:val="none" w:sz="0" w:space="0" w:color="auto"/>
        <w:left w:val="none" w:sz="0" w:space="0" w:color="auto"/>
        <w:bottom w:val="none" w:sz="0" w:space="0" w:color="auto"/>
        <w:right w:val="none" w:sz="0" w:space="0" w:color="auto"/>
      </w:divBdr>
    </w:div>
    <w:div w:id="563024763">
      <w:bodyDiv w:val="1"/>
      <w:marLeft w:val="0"/>
      <w:marRight w:val="0"/>
      <w:marTop w:val="0"/>
      <w:marBottom w:val="0"/>
      <w:divBdr>
        <w:top w:val="none" w:sz="0" w:space="0" w:color="auto"/>
        <w:left w:val="none" w:sz="0" w:space="0" w:color="auto"/>
        <w:bottom w:val="none" w:sz="0" w:space="0" w:color="auto"/>
        <w:right w:val="none" w:sz="0" w:space="0" w:color="auto"/>
      </w:divBdr>
    </w:div>
    <w:div w:id="988244431">
      <w:bodyDiv w:val="1"/>
      <w:marLeft w:val="0"/>
      <w:marRight w:val="0"/>
      <w:marTop w:val="0"/>
      <w:marBottom w:val="0"/>
      <w:divBdr>
        <w:top w:val="none" w:sz="0" w:space="0" w:color="auto"/>
        <w:left w:val="none" w:sz="0" w:space="0" w:color="auto"/>
        <w:bottom w:val="none" w:sz="0" w:space="0" w:color="auto"/>
        <w:right w:val="none" w:sz="0" w:space="0" w:color="auto"/>
      </w:divBdr>
    </w:div>
    <w:div w:id="1095398268">
      <w:bodyDiv w:val="1"/>
      <w:marLeft w:val="0"/>
      <w:marRight w:val="0"/>
      <w:marTop w:val="0"/>
      <w:marBottom w:val="0"/>
      <w:divBdr>
        <w:top w:val="none" w:sz="0" w:space="0" w:color="auto"/>
        <w:left w:val="none" w:sz="0" w:space="0" w:color="auto"/>
        <w:bottom w:val="none" w:sz="0" w:space="0" w:color="auto"/>
        <w:right w:val="none" w:sz="0" w:space="0" w:color="auto"/>
      </w:divBdr>
    </w:div>
    <w:div w:id="1399090077">
      <w:bodyDiv w:val="1"/>
      <w:marLeft w:val="0"/>
      <w:marRight w:val="0"/>
      <w:marTop w:val="0"/>
      <w:marBottom w:val="0"/>
      <w:divBdr>
        <w:top w:val="none" w:sz="0" w:space="0" w:color="auto"/>
        <w:left w:val="none" w:sz="0" w:space="0" w:color="auto"/>
        <w:bottom w:val="none" w:sz="0" w:space="0" w:color="auto"/>
        <w:right w:val="none" w:sz="0" w:space="0" w:color="auto"/>
      </w:divBdr>
    </w:div>
    <w:div w:id="1524125603">
      <w:bodyDiv w:val="1"/>
      <w:marLeft w:val="0"/>
      <w:marRight w:val="0"/>
      <w:marTop w:val="0"/>
      <w:marBottom w:val="0"/>
      <w:divBdr>
        <w:top w:val="none" w:sz="0" w:space="0" w:color="auto"/>
        <w:left w:val="none" w:sz="0" w:space="0" w:color="auto"/>
        <w:bottom w:val="none" w:sz="0" w:space="0" w:color="auto"/>
        <w:right w:val="none" w:sz="0" w:space="0" w:color="auto"/>
      </w:divBdr>
    </w:div>
    <w:div w:id="1538616578">
      <w:bodyDiv w:val="1"/>
      <w:marLeft w:val="0"/>
      <w:marRight w:val="0"/>
      <w:marTop w:val="0"/>
      <w:marBottom w:val="0"/>
      <w:divBdr>
        <w:top w:val="none" w:sz="0" w:space="0" w:color="auto"/>
        <w:left w:val="none" w:sz="0" w:space="0" w:color="auto"/>
        <w:bottom w:val="none" w:sz="0" w:space="0" w:color="auto"/>
        <w:right w:val="none" w:sz="0" w:space="0" w:color="auto"/>
      </w:divBdr>
    </w:div>
    <w:div w:id="1669946819">
      <w:bodyDiv w:val="1"/>
      <w:marLeft w:val="0"/>
      <w:marRight w:val="0"/>
      <w:marTop w:val="0"/>
      <w:marBottom w:val="0"/>
      <w:divBdr>
        <w:top w:val="none" w:sz="0" w:space="0" w:color="auto"/>
        <w:left w:val="none" w:sz="0" w:space="0" w:color="auto"/>
        <w:bottom w:val="none" w:sz="0" w:space="0" w:color="auto"/>
        <w:right w:val="none" w:sz="0" w:space="0" w:color="auto"/>
      </w:divBdr>
      <w:divsChild>
        <w:div w:id="28646057">
          <w:marLeft w:val="0"/>
          <w:marRight w:val="0"/>
          <w:marTop w:val="0"/>
          <w:marBottom w:val="0"/>
          <w:divBdr>
            <w:top w:val="none" w:sz="0" w:space="0" w:color="auto"/>
            <w:left w:val="none" w:sz="0" w:space="0" w:color="auto"/>
            <w:bottom w:val="none" w:sz="0" w:space="0" w:color="auto"/>
            <w:right w:val="none" w:sz="0" w:space="0" w:color="auto"/>
          </w:divBdr>
          <w:divsChild>
            <w:div w:id="2792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nvss/vsrr/drug-overdose-data.htm" TargetMode="External"/><Relationship Id="rId3" Type="http://schemas.openxmlformats.org/officeDocument/2006/relationships/settings" Target="settings.xml"/><Relationship Id="rId7" Type="http://schemas.openxmlformats.org/officeDocument/2006/relationships/hyperlink" Target="http://www.compa-n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Fernandez</dc:creator>
  <cp:lastModifiedBy>Allegra Schorr</cp:lastModifiedBy>
  <cp:revision>2</cp:revision>
  <cp:lastPrinted>2018-02-07T15:17:00Z</cp:lastPrinted>
  <dcterms:created xsi:type="dcterms:W3CDTF">2018-03-15T18:43:00Z</dcterms:created>
  <dcterms:modified xsi:type="dcterms:W3CDTF">2018-03-15T18:43:00Z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291101407</vt:i4>
  </property>
</Properties>
</file>